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 3</w:t>
      </w:r>
      <w:r w:rsidR="00356A03">
        <w:rPr>
          <w:rFonts w:eastAsia="TimesNewRoman"/>
        </w:rPr>
        <w:t>5</w:t>
      </w:r>
    </w:p>
    <w:p w:rsidR="00753203" w:rsidRPr="006B3D11" w:rsidRDefault="00783634" w:rsidP="006B3D11">
      <w:pPr>
        <w:spacing w:after="240"/>
        <w:ind w:left="5102" w:firstLine="1"/>
      </w:pPr>
      <w:r w:rsidRPr="007F64FE">
        <w:rPr>
          <w:sz w:val="22"/>
          <w:szCs w:val="22"/>
        </w:rPr>
        <w:t>1 priedas</w:t>
      </w: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0F6DD2">
            <w:pPr>
              <w:jc w:val="center"/>
              <w:rPr>
                <w:szCs w:val="22"/>
              </w:rPr>
            </w:pPr>
          </w:p>
          <w:p w:rsidR="000F6DD2" w:rsidRDefault="000F6DD2"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5097E">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6B3D11" w:rsidRPr="00D5097E" w:rsidRDefault="00D5097E" w:rsidP="00D5097E">
            <w:pPr>
              <w:rPr>
                <w:szCs w:val="22"/>
              </w:rPr>
            </w:pPr>
            <w:r>
              <w:t xml:space="preserve">Pateikta </w:t>
            </w:r>
            <w:r w:rsidR="006B3D11" w:rsidRPr="00D5097E">
              <w:rPr>
                <w:sz w:val="22"/>
                <w:szCs w:val="22"/>
              </w:rPr>
              <w:t xml:space="preserve"> el. paštu:  </w:t>
            </w:r>
            <w:hyperlink r:id="rId6" w:history="1">
              <w:r w:rsidRPr="00D5097E">
                <w:rPr>
                  <w:rStyle w:val="Hipersaitas"/>
                  <w:b/>
                </w:rPr>
                <w:t>alytausrajonovvgprojektai@gmail.com</w:t>
              </w:r>
            </w:hyperlink>
            <w:r w:rsidR="006B3D11" w:rsidRPr="00D5097E">
              <w:rPr>
                <w:b/>
              </w:rPr>
              <w:t xml:space="preserve">   </w:t>
            </w:r>
          </w:p>
          <w:p w:rsidR="00753203" w:rsidRDefault="006B3D11" w:rsidP="00D5097E">
            <w:pPr>
              <w:rPr>
                <w:szCs w:val="22"/>
              </w:rPr>
            </w:pPr>
            <w:r>
              <w:rPr>
                <w:sz w:val="22"/>
                <w:szCs w:val="22"/>
              </w:rPr>
              <w:t>pa</w:t>
            </w:r>
            <w:r w:rsidR="003A6691" w:rsidRPr="00122B60">
              <w:rPr>
                <w:sz w:val="22"/>
                <w:szCs w:val="22"/>
              </w:rPr>
              <w:t>siraš</w:t>
            </w:r>
            <w:r>
              <w:rPr>
                <w:sz w:val="22"/>
                <w:szCs w:val="22"/>
              </w:rPr>
              <w:t xml:space="preserve">yta </w:t>
            </w:r>
            <w:r w:rsidR="003A6691" w:rsidRPr="00122B60">
              <w:rPr>
                <w:sz w:val="22"/>
                <w:szCs w:val="22"/>
              </w:rPr>
              <w:t xml:space="preserve"> kvalifikuotu elektroniniu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 xml:space="preserve">Įrašykite tikslią kontaktinę informaciją, kuria bus </w:t>
            </w:r>
            <w:r>
              <w:rPr>
                <w:i/>
                <w:sz w:val="22"/>
                <w:szCs w:val="22"/>
              </w:rPr>
              <w:lastRenderedPageBreak/>
              <w:t>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243995">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243995">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243995">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243995">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243995">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lastRenderedPageBreak/>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243995">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243995">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243995">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243995">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243995">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ind w:firstLine="720"/>
              <w:jc w:val="center"/>
            </w:pPr>
            <w:r w:rsidRPr="00C16310">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ind w:firstLine="720"/>
              <w:jc w:val="cente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783634">
            <w:pPr>
              <w:rPr>
                <w:szCs w:val="22"/>
              </w:rPr>
            </w:pPr>
          </w:p>
        </w:tc>
      </w:tr>
      <w:tr w:rsidR="00753203" w:rsidTr="00243995">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D30C93">
            <w:pPr>
              <w:jc w:val="both"/>
              <w:rPr>
                <w:szCs w:val="22"/>
              </w:rPr>
            </w:pPr>
          </w:p>
        </w:tc>
      </w:tr>
      <w:tr w:rsidR="00753203" w:rsidTr="00243995">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557EC8" w:rsidRPr="00C16310" w:rsidRDefault="00557EC8" w:rsidP="00557EC8">
            <w:pPr>
              <w:jc w:val="both"/>
              <w:rPr>
                <w:szCs w:val="22"/>
              </w:rPr>
            </w:pPr>
            <w:r w:rsidRPr="00C16310">
              <w:rPr>
                <w:sz w:val="22"/>
                <w:szCs w:val="22"/>
              </w:rPr>
              <w:t xml:space="preserve">□ vieną Aprašą: </w:t>
            </w:r>
          </w:p>
          <w:p w:rsidR="00753203" w:rsidRPr="00C16310" w:rsidRDefault="00557EC8" w:rsidP="00356A03">
            <w:pPr>
              <w:rPr>
                <w:szCs w:val="24"/>
              </w:rPr>
            </w:pPr>
            <w:r w:rsidRPr="00C16310">
              <w:rPr>
                <w:sz w:val="22"/>
                <w:szCs w:val="22"/>
              </w:rPr>
              <w:t xml:space="preserve">- pagal VPS priemonę </w:t>
            </w:r>
            <w:r w:rsidRPr="00C16310">
              <w:rPr>
                <w:rFonts w:eastAsia="TimesNewRoman"/>
              </w:rPr>
              <w:t>„Pagrindinės paslaugos ir kaimų atnaujinimas kaimo vietovėse“ (kodas LEADER-19.2-7) veiklos sričiai „Parama investicijoms į visų rūšių mažos apimties infrastruktūrą“ (kodas LEADER-19.2- 7.2)</w:t>
            </w:r>
            <w:r w:rsidRPr="00C16310">
              <w:rPr>
                <w:sz w:val="22"/>
                <w:szCs w:val="22"/>
              </w:rPr>
              <w:t>, patvirtintą Alytaus rajono vietos veiklos grupės valdybos 202</w:t>
            </w:r>
            <w:r w:rsidR="001B2D4E" w:rsidRPr="00C16310">
              <w:rPr>
                <w:sz w:val="22"/>
                <w:szCs w:val="22"/>
              </w:rPr>
              <w:t xml:space="preserve">2 </w:t>
            </w:r>
            <w:r w:rsidRPr="00C16310">
              <w:rPr>
                <w:sz w:val="22"/>
                <w:szCs w:val="22"/>
              </w:rPr>
              <w:t xml:space="preserve"> m. </w:t>
            </w:r>
            <w:r w:rsidR="00356A03" w:rsidRPr="00C16310">
              <w:rPr>
                <w:sz w:val="22"/>
                <w:szCs w:val="22"/>
              </w:rPr>
              <w:t>lapkričio 10</w:t>
            </w:r>
            <w:r w:rsidRPr="00C16310">
              <w:rPr>
                <w:sz w:val="22"/>
                <w:szCs w:val="22"/>
              </w:rPr>
              <w:t xml:space="preserve"> d. rašytinio sprendimo priėmimo procedūros protokolu  Nr. </w:t>
            </w:r>
            <w:r w:rsidR="00753DEB" w:rsidRPr="00C16310">
              <w:rPr>
                <w:sz w:val="22"/>
                <w:szCs w:val="22"/>
              </w:rPr>
              <w:t>2</w:t>
            </w:r>
            <w:r w:rsidR="00356A03" w:rsidRPr="00C16310">
              <w:rPr>
                <w:sz w:val="22"/>
                <w:szCs w:val="22"/>
              </w:rPr>
              <w:t>5</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243995">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24399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 xml:space="preserve">Vadovaujamasi Aprašu, pateikiama nuoroda į </w:t>
            </w:r>
            <w:r>
              <w:rPr>
                <w:i/>
                <w:sz w:val="22"/>
                <w:szCs w:val="22"/>
              </w:rPr>
              <w:lastRenderedPageBreak/>
              <w:t>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lastRenderedPageBreak/>
              <w:t>Planuojamų išlaidų kainos pagrindimas</w:t>
            </w:r>
          </w:p>
          <w:p w:rsidR="00753203" w:rsidRDefault="00753203" w:rsidP="00D30C93">
            <w:pPr>
              <w:tabs>
                <w:tab w:val="left" w:pos="567"/>
              </w:tabs>
              <w:jc w:val="center"/>
              <w:rPr>
                <w:b/>
                <w:szCs w:val="22"/>
              </w:rPr>
            </w:pPr>
            <w:r>
              <w:rPr>
                <w:i/>
                <w:sz w:val="22"/>
                <w:szCs w:val="22"/>
              </w:rPr>
              <w:t xml:space="preserve">Grįsdami poreikį vadovaukitės Vietos projektų administravimo taisyklių 24.6 papunkčiu, išskyrus savanorišką darbą. Savanoriško darbo </w:t>
            </w:r>
            <w:r>
              <w:rPr>
                <w:i/>
                <w:sz w:val="22"/>
                <w:szCs w:val="22"/>
              </w:rPr>
              <w:lastRenderedPageBreak/>
              <w:t>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lastRenderedPageBreak/>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243995">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w:t>
            </w:r>
            <w:r>
              <w:rPr>
                <w:b/>
                <w:sz w:val="22"/>
                <w:szCs w:val="22"/>
              </w:rPr>
              <w:lastRenderedPageBreak/>
              <w:t xml:space="preserve">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lastRenderedPageBreak/>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1B2D4E">
              <w:rPr>
                <w:b/>
                <w:sz w:val="22"/>
                <w:szCs w:val="22"/>
              </w:rPr>
              <w:t xml:space="preserve">Planuojamos išlaidos grindžiamos pagal Aprašą, skirtą VPS priemonės </w:t>
            </w:r>
            <w:r w:rsidRPr="001B2D4E">
              <w:rPr>
                <w:rFonts w:eastAsia="TimesNewRoman"/>
                <w:b/>
              </w:rPr>
              <w:t>„Pagrindinės paslaugos ir kaimų atnaujinimas kaimo vietovėse“ (kodas LEADER-19.2-7) veiklos sričiai „Parama investicijoms į visų rūšių mažos apimties infrastruktūrą“ (kodas LEADER-19.2- 7.2)</w:t>
            </w:r>
            <w:r w:rsidRPr="001B2D4E">
              <w:rPr>
                <w:b/>
                <w:sz w:val="22"/>
                <w:szCs w:val="22"/>
              </w:rPr>
              <w:t>, patvirtintą Alytaus rajono vietos veiklos grupės valdybos 202</w:t>
            </w:r>
            <w:r w:rsidR="001B2D4E" w:rsidRPr="001B2D4E">
              <w:rPr>
                <w:b/>
                <w:sz w:val="22"/>
                <w:szCs w:val="22"/>
              </w:rPr>
              <w:t>2</w:t>
            </w:r>
            <w:r w:rsidRPr="001B2D4E">
              <w:rPr>
                <w:b/>
                <w:sz w:val="22"/>
                <w:szCs w:val="22"/>
              </w:rPr>
              <w:t xml:space="preserve">  m. </w:t>
            </w:r>
            <w:r w:rsidR="00753DEB">
              <w:rPr>
                <w:b/>
                <w:sz w:val="22"/>
                <w:szCs w:val="22"/>
              </w:rPr>
              <w:t xml:space="preserve"> </w:t>
            </w:r>
            <w:r w:rsidR="00356A03">
              <w:rPr>
                <w:b/>
                <w:sz w:val="22"/>
                <w:szCs w:val="22"/>
              </w:rPr>
              <w:t>lapkričio 10</w:t>
            </w:r>
            <w:r w:rsidR="001B2D4E" w:rsidRPr="001B2D4E">
              <w:rPr>
                <w:b/>
                <w:sz w:val="22"/>
                <w:szCs w:val="22"/>
              </w:rPr>
              <w:t xml:space="preserve"> </w:t>
            </w:r>
            <w:r w:rsidRPr="001B2D4E">
              <w:rPr>
                <w:b/>
                <w:sz w:val="22"/>
                <w:szCs w:val="22"/>
              </w:rPr>
              <w:t>d. rašytinio sprendimo pri</w:t>
            </w:r>
            <w:r w:rsidR="001B2D4E" w:rsidRPr="001B2D4E">
              <w:rPr>
                <w:b/>
                <w:sz w:val="22"/>
                <w:szCs w:val="22"/>
              </w:rPr>
              <w:t>ėmimo procedūros protokolu  Nr.</w:t>
            </w:r>
            <w:r w:rsidR="00753DEB">
              <w:rPr>
                <w:b/>
                <w:sz w:val="22"/>
                <w:szCs w:val="22"/>
              </w:rPr>
              <w:t>2</w:t>
            </w:r>
            <w:r w:rsidR="00356A03">
              <w:rPr>
                <w:b/>
                <w:sz w:val="22"/>
                <w:szCs w:val="22"/>
              </w:rPr>
              <w:t>5</w:t>
            </w:r>
            <w:r w:rsidRPr="001B2D4E">
              <w:rPr>
                <w:b/>
                <w:sz w:val="22"/>
                <w:szCs w:val="22"/>
              </w:rPr>
              <w:t xml:space="preserve"> </w:t>
            </w:r>
          </w:p>
          <w:p w:rsidR="00557EC8" w:rsidRPr="00590487" w:rsidRDefault="00557EC8" w:rsidP="00557EC8">
            <w:pPr>
              <w:tabs>
                <w:tab w:val="left" w:pos="567"/>
              </w:tabs>
              <w:jc w:val="both"/>
              <w:rPr>
                <w:b/>
                <w:szCs w:val="22"/>
              </w:rPr>
            </w:pPr>
            <w:r w:rsidRPr="00590487">
              <w:rPr>
                <w:b/>
                <w:sz w:val="22"/>
                <w:szCs w:val="22"/>
              </w:rPr>
              <w:t>Paramos lyginamoji dalis: iki 80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w:t>
      </w:r>
      <w:r w:rsidR="00243995">
        <w:rPr>
          <w:i/>
          <w:sz w:val="22"/>
          <w:szCs w:val="22"/>
        </w:rPr>
        <w:t xml:space="preserve"> </w:t>
      </w:r>
      <w:r>
        <w:rPr>
          <w:i/>
          <w:sz w:val="22"/>
          <w:szCs w:val="22"/>
        </w:rPr>
        <w:t>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lastRenderedPageBreak/>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243995"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243995" w:rsidP="00D30C93">
            <w:pPr>
              <w:jc w:val="center"/>
              <w:rPr>
                <w:szCs w:val="22"/>
              </w:rPr>
            </w:pPr>
            <w:r>
              <w:rPr>
                <w:sz w:val="22"/>
                <w:szCs w:val="22"/>
              </w:rPr>
              <w:t>&lt;...&gt;</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1B2D4E" w:rsidP="00DF6E75">
            <w:pPr>
              <w:jc w:val="both"/>
              <w:rPr>
                <w:szCs w:val="22"/>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7E4978">
            <w:pPr>
              <w:jc w:val="both"/>
              <w:rPr>
                <w:szCs w:val="22"/>
              </w:rPr>
            </w:pPr>
            <w:r>
              <w:rPr>
                <w:sz w:val="22"/>
                <w:szCs w:val="22"/>
              </w:rPr>
              <w:t>į</w:t>
            </w:r>
            <w:r w:rsidRPr="00276501">
              <w:rPr>
                <w:sz w:val="22"/>
                <w:szCs w:val="22"/>
              </w:rPr>
              <w:t xml:space="preserve">gyvendinti projektą per nurodytą laikotarpį, kuris neviršija </w:t>
            </w:r>
            <w:r w:rsidR="007E4978">
              <w:rPr>
                <w:sz w:val="22"/>
                <w:szCs w:val="22"/>
              </w:rPr>
              <w:t>36</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007E4978" w:rsidRPr="005C06B5">
              <w:t xml:space="preserve"> </w:t>
            </w:r>
            <w:r w:rsidR="007E4978">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7E4978">
              <w:rPr>
                <w:b/>
                <w:bCs/>
                <w:color w:val="000000"/>
              </w:rPr>
              <w:t> </w:t>
            </w:r>
            <w:r w:rsidR="007E4978">
              <w:rPr>
                <w:color w:val="000000"/>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w:t>
            </w:r>
            <w:r>
              <w:rPr>
                <w:sz w:val="22"/>
                <w:szCs w:val="22"/>
              </w:rPr>
              <w:lastRenderedPageBreak/>
              <w:t xml:space="preserve">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w:t>
            </w:r>
            <w:r>
              <w:rPr>
                <w:color w:val="000000"/>
                <w:sz w:val="22"/>
                <w:szCs w:val="22"/>
                <w:lang w:eastAsia="lt-LT"/>
              </w:rPr>
              <w:lastRenderedPageBreak/>
              <w:t xml:space="preserve">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w:t>
      </w:r>
      <w:r w:rsidR="007773D6">
        <w:rPr>
          <w:sz w:val="22"/>
          <w:szCs w:val="22"/>
        </w:rPr>
        <w:t>____Ž</w:t>
      </w:r>
    </w:p>
    <w:p w:rsidR="001F6806" w:rsidRDefault="001F6806" w:rsidP="007773D6"/>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
    <w:nsid w:val="48B46831"/>
    <w:multiLevelType w:val="hybridMultilevel"/>
    <w:tmpl w:val="3E3E5D06"/>
    <w:lvl w:ilvl="0" w:tplc="8D6A91FE">
      <w:start w:val="1"/>
      <w:numFmt w:val="bullet"/>
      <w:lvlText w:val="-"/>
      <w:lvlJc w:val="left"/>
      <w:pPr>
        <w:ind w:left="720" w:hanging="360"/>
      </w:pPr>
      <w:rPr>
        <w:rFonts w:ascii="Times New Roman" w:eastAsia="Times New Roman" w:hAnsi="Times New Roman" w:cs="Times New Roman"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4823"/>
    <w:rsid w:val="000069BC"/>
    <w:rsid w:val="00053713"/>
    <w:rsid w:val="000A1629"/>
    <w:rsid w:val="000F6DD2"/>
    <w:rsid w:val="0017296B"/>
    <w:rsid w:val="001B2D4E"/>
    <w:rsid w:val="001F6806"/>
    <w:rsid w:val="00243995"/>
    <w:rsid w:val="002F3027"/>
    <w:rsid w:val="00330C5C"/>
    <w:rsid w:val="00356A03"/>
    <w:rsid w:val="003A6691"/>
    <w:rsid w:val="003F3759"/>
    <w:rsid w:val="00442A38"/>
    <w:rsid w:val="00512CB7"/>
    <w:rsid w:val="005455B0"/>
    <w:rsid w:val="00557EC8"/>
    <w:rsid w:val="00567DEE"/>
    <w:rsid w:val="00576DDB"/>
    <w:rsid w:val="005F3DBC"/>
    <w:rsid w:val="00635871"/>
    <w:rsid w:val="006B3D11"/>
    <w:rsid w:val="00753203"/>
    <w:rsid w:val="00753DEB"/>
    <w:rsid w:val="007773D6"/>
    <w:rsid w:val="00783634"/>
    <w:rsid w:val="007E4978"/>
    <w:rsid w:val="007F64FE"/>
    <w:rsid w:val="008413D6"/>
    <w:rsid w:val="008818F3"/>
    <w:rsid w:val="008A5EBC"/>
    <w:rsid w:val="008F6777"/>
    <w:rsid w:val="00937B54"/>
    <w:rsid w:val="00986329"/>
    <w:rsid w:val="009E6286"/>
    <w:rsid w:val="00A35BC3"/>
    <w:rsid w:val="00B70421"/>
    <w:rsid w:val="00BA1933"/>
    <w:rsid w:val="00BD16FE"/>
    <w:rsid w:val="00C16310"/>
    <w:rsid w:val="00C87543"/>
    <w:rsid w:val="00CD0D6D"/>
    <w:rsid w:val="00CF38AD"/>
    <w:rsid w:val="00D30C93"/>
    <w:rsid w:val="00D33666"/>
    <w:rsid w:val="00D5097E"/>
    <w:rsid w:val="00DF6E75"/>
    <w:rsid w:val="00E80A28"/>
    <w:rsid w:val="00EE7E88"/>
    <w:rsid w:val="00F70F17"/>
    <w:rsid w:val="00F9285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uiPriority w:val="99"/>
    <w:unhideWhenUsed/>
    <w:rsid w:val="006B3D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ytausrajonovvgprojekt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7377A-3E57-45AD-98CC-AA236597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21903</Words>
  <Characters>12485</Characters>
  <Application>Microsoft Office Word</Application>
  <DocSecurity>0</DocSecurity>
  <Lines>104</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23</cp:revision>
  <cp:lastPrinted>2022-11-10T13:06:00Z</cp:lastPrinted>
  <dcterms:created xsi:type="dcterms:W3CDTF">2021-07-27T17:53:00Z</dcterms:created>
  <dcterms:modified xsi:type="dcterms:W3CDTF">2022-11-10T17:05:00Z</dcterms:modified>
</cp:coreProperties>
</file>