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 30</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bCs/>
                <w:szCs w:val="22"/>
              </w:rPr>
            </w:pPr>
            <w:r>
              <w:rPr>
                <w:bCs/>
                <w:sz w:val="22"/>
                <w:szCs w:val="22"/>
              </w:rPr>
              <w:t>- asmeniškai VPS vykdytojai</w:t>
            </w:r>
          </w:p>
          <w:p w:rsidR="00753203" w:rsidRDefault="00753203" w:rsidP="00D30C93">
            <w:pPr>
              <w:jc w:val="both"/>
              <w:rPr>
                <w:bCs/>
                <w:szCs w:val="22"/>
              </w:rPr>
            </w:pPr>
            <w:r>
              <w:rPr>
                <w:bCs/>
                <w:sz w:val="22"/>
                <w:szCs w:val="22"/>
              </w:rPr>
              <w:t xml:space="preserve">- el. paštu (gali būti taikoma, jeigu kviečiama teikti mažus vietos projektus, kuriuose prašoma paramos suma iki 10 tūkst. </w:t>
            </w:r>
            <w:proofErr w:type="spellStart"/>
            <w:r>
              <w:rPr>
                <w:bCs/>
                <w:sz w:val="22"/>
                <w:szCs w:val="22"/>
              </w:rPr>
              <w:t>Eur</w:t>
            </w:r>
            <w:proofErr w:type="spellEnd"/>
            <w:r>
              <w:rPr>
                <w:bCs/>
                <w:sz w:val="22"/>
                <w:szCs w:val="22"/>
              </w:rPr>
              <w:t xml:space="preserve">. </w:t>
            </w:r>
            <w:r>
              <w:rPr>
                <w:bCs/>
                <w:i/>
                <w:iCs/>
                <w:sz w:val="22"/>
                <w:szCs w:val="22"/>
              </w:rPr>
              <w:t>Karantino ir ekstremaliosios situacijos dėl COVID-19 ligos (</w:t>
            </w:r>
            <w:proofErr w:type="spellStart"/>
            <w:r>
              <w:rPr>
                <w:bCs/>
                <w:i/>
                <w:iCs/>
                <w:sz w:val="22"/>
                <w:szCs w:val="22"/>
              </w:rPr>
              <w:t>koronaviruso</w:t>
            </w:r>
            <w:proofErr w:type="spellEnd"/>
            <w:r>
              <w:rPr>
                <w:bCs/>
                <w:i/>
                <w:iCs/>
                <w:sz w:val="22"/>
                <w:szCs w:val="22"/>
              </w:rPr>
              <w:t xml:space="preserve"> infekcijos) metu sumos apribojimas netaikomas)</w:t>
            </w:r>
          </w:p>
          <w:p w:rsidR="00753203" w:rsidRDefault="00753203" w:rsidP="00D30C93">
            <w:pPr>
              <w:jc w:val="both"/>
              <w:rPr>
                <w:bCs/>
                <w:szCs w:val="22"/>
              </w:rPr>
            </w:pPr>
            <w:r>
              <w:rPr>
                <w:bCs/>
                <w:sz w:val="22"/>
                <w:szCs w:val="22"/>
              </w:rPr>
              <w:t>- el. paštu pasirašius elektroniniu parašu</w:t>
            </w:r>
          </w:p>
          <w:p w:rsidR="00753203" w:rsidRDefault="00753203" w:rsidP="00D30C93">
            <w:pPr>
              <w:jc w:val="both"/>
              <w:rPr>
                <w:bCs/>
                <w:i/>
                <w:iCs/>
                <w:szCs w:val="22"/>
              </w:rPr>
            </w:pPr>
            <w:r>
              <w:rPr>
                <w:bCs/>
                <w:sz w:val="22"/>
                <w:szCs w:val="22"/>
              </w:rPr>
              <w:t xml:space="preserve">- naudojantis įrengtomis „paraiškų dėžutėmis“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p w:rsidR="00753203" w:rsidRDefault="00753203" w:rsidP="00D30C93">
            <w:pPr>
              <w:jc w:val="both"/>
              <w:rPr>
                <w:szCs w:val="22"/>
              </w:rPr>
            </w:pPr>
            <w:r>
              <w:rPr>
                <w:bCs/>
                <w:sz w:val="22"/>
                <w:szCs w:val="22"/>
              </w:rPr>
              <w:t xml:space="preserve">- kitu, VPS vykdytojos kvietime teikti vietos projektų paraiškas nurodytu būdu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Pareiškėjo registracijos kodas (jeigu tai juridinis asmuo), asmens kodas (jeigu </w:t>
            </w:r>
            <w:r>
              <w:rPr>
                <w:sz w:val="22"/>
                <w:szCs w:val="22"/>
              </w:rPr>
              <w:lastRenderedPageBreak/>
              <w:t>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xml:space="preserve">), pateikiama ši informacija (jeigu partneriai yra keli, nurodoma apie kiekvieną partnerį atskirai): vardas ir pavardė, asmens kodas, </w:t>
            </w:r>
            <w:r>
              <w:rPr>
                <w:i/>
                <w:sz w:val="22"/>
                <w:szCs w:val="22"/>
              </w:rPr>
              <w:lastRenderedPageBreak/>
              <w:t>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lastRenderedPageBreak/>
              <w:t>Vietos projektų finansavimo 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lastRenderedPageBreak/>
              <w:t xml:space="preserve">□ vieną Aprašą: </w:t>
            </w:r>
          </w:p>
          <w:p w:rsidR="00753203" w:rsidRPr="00D30C93" w:rsidRDefault="00557EC8" w:rsidP="00CF2191">
            <w:pPr>
              <w:rPr>
                <w:szCs w:val="24"/>
              </w:rPr>
            </w:pPr>
            <w:r w:rsidRPr="00FB7084">
              <w:rPr>
                <w:sz w:val="22"/>
                <w:szCs w:val="22"/>
              </w:rPr>
              <w:t xml:space="preserve">- pagal VPS priemonę </w:t>
            </w:r>
            <w:r w:rsidRPr="00A03695">
              <w:rPr>
                <w:rFonts w:eastAsia="TimesNewRoman"/>
              </w:rPr>
              <w:t xml:space="preserve">„Pagrindinės paslaugos ir kaimų </w:t>
            </w:r>
            <w:r w:rsidRPr="00A03695">
              <w:rPr>
                <w:rFonts w:eastAsia="TimesNewRoman"/>
              </w:rPr>
              <w:lastRenderedPageBreak/>
              <w:t>atnaujinimas kaimo vietovėse“ (kodas LEADER-19.2-7) veiklos sričiai „Parama investicijoms į visų rūšių mažos apimties infrastruktūrą“ (kodas LEADER-19.2- 7.2)</w:t>
            </w:r>
            <w:r w:rsidRPr="00FB7084">
              <w:rPr>
                <w:sz w:val="22"/>
                <w:szCs w:val="22"/>
              </w:rPr>
              <w:t xml:space="preserve">, patvirtintą Alytaus rajono </w:t>
            </w:r>
            <w:r w:rsidRPr="00590487">
              <w:rPr>
                <w:sz w:val="22"/>
                <w:szCs w:val="22"/>
              </w:rPr>
              <w:t xml:space="preserve">vietos veiklos grupės valdybos </w:t>
            </w:r>
            <w:r w:rsidR="005725A1" w:rsidRPr="00590487">
              <w:rPr>
                <w:sz w:val="22"/>
                <w:szCs w:val="22"/>
              </w:rPr>
              <w:t>20</w:t>
            </w:r>
            <w:r w:rsidR="005725A1">
              <w:rPr>
                <w:sz w:val="22"/>
                <w:szCs w:val="22"/>
              </w:rPr>
              <w:t>21</w:t>
            </w:r>
            <w:r w:rsidR="005725A1" w:rsidRPr="00590487">
              <w:rPr>
                <w:sz w:val="22"/>
                <w:szCs w:val="22"/>
              </w:rPr>
              <w:t xml:space="preserve"> m. </w:t>
            </w:r>
            <w:r w:rsidR="005725A1">
              <w:rPr>
                <w:sz w:val="22"/>
                <w:szCs w:val="22"/>
              </w:rPr>
              <w:t>rugsėj</w:t>
            </w:r>
            <w:r w:rsidR="00987A55">
              <w:rPr>
                <w:sz w:val="22"/>
                <w:szCs w:val="22"/>
              </w:rPr>
              <w:t xml:space="preserve">o </w:t>
            </w:r>
            <w:r w:rsidR="00CF2191">
              <w:rPr>
                <w:sz w:val="22"/>
                <w:szCs w:val="22"/>
              </w:rPr>
              <w:t>29</w:t>
            </w:r>
            <w:r w:rsidR="00987A55">
              <w:rPr>
                <w:sz w:val="22"/>
                <w:szCs w:val="22"/>
              </w:rPr>
              <w:t xml:space="preserve"> </w:t>
            </w:r>
            <w:r w:rsidR="005725A1" w:rsidRPr="00590487">
              <w:rPr>
                <w:sz w:val="22"/>
                <w:szCs w:val="22"/>
              </w:rPr>
              <w:t>d. rašytinio sprendimo priėmimo procedūros protokolu  Nr.</w:t>
            </w:r>
            <w:r w:rsidR="005725A1">
              <w:rPr>
                <w:sz w:val="22"/>
                <w:szCs w:val="22"/>
              </w:rPr>
              <w:t>1</w:t>
            </w:r>
            <w:r w:rsidR="00CF2191">
              <w:rPr>
                <w:sz w:val="22"/>
                <w:szCs w:val="22"/>
              </w:rPr>
              <w:t>2</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lastRenderedPageBreak/>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w:t>
            </w:r>
            <w:r>
              <w:rPr>
                <w:b/>
                <w:sz w:val="22"/>
              </w:rPr>
              <w:lastRenderedPageBreak/>
              <w:t xml:space="preserve">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lastRenderedPageBreak/>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557EC8" w:rsidRPr="00590487" w:rsidRDefault="00557EC8" w:rsidP="00557EC8">
            <w:pPr>
              <w:tabs>
                <w:tab w:val="left" w:pos="567"/>
              </w:tabs>
              <w:jc w:val="both"/>
              <w:rPr>
                <w:b/>
                <w:szCs w:val="22"/>
              </w:rPr>
            </w:pPr>
            <w:r w:rsidRPr="00557EC8">
              <w:rPr>
                <w:sz w:val="22"/>
                <w:szCs w:val="22"/>
              </w:rPr>
              <w:t>Planuojamos išlaidos grindžiamos pagal Aprašą, skirtą VPS priemonės</w:t>
            </w:r>
            <w:r w:rsidRPr="00607BE6">
              <w:rPr>
                <w:b/>
                <w:sz w:val="22"/>
                <w:szCs w:val="22"/>
              </w:rPr>
              <w:t xml:space="preserve"> </w:t>
            </w:r>
            <w:r w:rsidRPr="00A03695">
              <w:rPr>
                <w:rFonts w:eastAsia="TimesNewRoman"/>
              </w:rPr>
              <w:t xml:space="preserve">„Pagrindinės paslaugos ir kaimų atnaujinimas kaimo vietovėse“ (kodas LEADER-19.2-7) veiklos sričiai „Parama investicijoms į visų rūšių mažos apimties infrastruktūrą“ (kodas </w:t>
            </w:r>
            <w:r w:rsidRPr="00590487">
              <w:rPr>
                <w:rFonts w:eastAsia="TimesNewRoman"/>
              </w:rPr>
              <w:t>LEADER-19.2- 7.2)</w:t>
            </w:r>
            <w:r w:rsidRPr="00590487">
              <w:rPr>
                <w:sz w:val="22"/>
                <w:szCs w:val="22"/>
              </w:rPr>
              <w:t xml:space="preserve">, patvirtintą Alytaus rajono vietos veiklos grupės valdybos </w:t>
            </w:r>
            <w:r w:rsidR="00CF2191" w:rsidRPr="00FB7084">
              <w:rPr>
                <w:sz w:val="22"/>
                <w:szCs w:val="22"/>
              </w:rPr>
              <w:t xml:space="preserve">Alytaus rajono </w:t>
            </w:r>
            <w:r w:rsidR="00CF2191" w:rsidRPr="00590487">
              <w:rPr>
                <w:sz w:val="22"/>
                <w:szCs w:val="22"/>
              </w:rPr>
              <w:t>vietos veiklos grupės valdybos 20</w:t>
            </w:r>
            <w:r w:rsidR="00CF2191">
              <w:rPr>
                <w:sz w:val="22"/>
                <w:szCs w:val="22"/>
              </w:rPr>
              <w:t>21</w:t>
            </w:r>
            <w:r w:rsidR="00CF2191" w:rsidRPr="00590487">
              <w:rPr>
                <w:sz w:val="22"/>
                <w:szCs w:val="22"/>
              </w:rPr>
              <w:t xml:space="preserve"> m. </w:t>
            </w:r>
            <w:r w:rsidR="00CF2191">
              <w:rPr>
                <w:sz w:val="22"/>
                <w:szCs w:val="22"/>
              </w:rPr>
              <w:t xml:space="preserve">rugsėjo 29 </w:t>
            </w:r>
            <w:r w:rsidR="00CF2191" w:rsidRPr="00590487">
              <w:rPr>
                <w:sz w:val="22"/>
                <w:szCs w:val="22"/>
              </w:rPr>
              <w:t>d. rašytinio sprendimo priėmimo procedūros protokolu  Nr.</w:t>
            </w:r>
            <w:r w:rsidR="00CF2191">
              <w:rPr>
                <w:sz w:val="22"/>
                <w:szCs w:val="22"/>
              </w:rPr>
              <w:t>12.</w:t>
            </w:r>
            <w:r w:rsidRPr="00590487">
              <w:rPr>
                <w:sz w:val="22"/>
                <w:szCs w:val="22"/>
              </w:rPr>
              <w:t xml:space="preserve">. </w:t>
            </w:r>
            <w:r w:rsidRPr="00590487">
              <w:rPr>
                <w:b/>
                <w:sz w:val="22"/>
                <w:szCs w:val="22"/>
              </w:rPr>
              <w:t>Paramos lyginamoji dalis: iki 80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lastRenderedPageBreak/>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lastRenderedPageBreak/>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eastAsia="Calibri"/>
                <w:szCs w:val="24"/>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w:t>
            </w:r>
            <w:r>
              <w:rPr>
                <w:rFonts w:eastAsia="Calibri"/>
                <w:szCs w:val="24"/>
              </w:rPr>
              <w:lastRenderedPageBreak/>
              <w:t>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7E4978">
            <w:pPr>
              <w:jc w:val="both"/>
              <w:rPr>
                <w:szCs w:val="22"/>
              </w:rPr>
            </w:pPr>
            <w:r>
              <w:rPr>
                <w:sz w:val="22"/>
                <w:szCs w:val="22"/>
              </w:rPr>
              <w:t>į</w:t>
            </w:r>
            <w:r w:rsidRPr="00276501">
              <w:rPr>
                <w:sz w:val="22"/>
                <w:szCs w:val="22"/>
              </w:rPr>
              <w:t xml:space="preserve">gyvendinti projektą per nurodytą laikotarpį, kuris neviršija </w:t>
            </w:r>
            <w:r w:rsidR="007E4978">
              <w:rPr>
                <w:sz w:val="22"/>
                <w:szCs w:val="22"/>
              </w:rPr>
              <w:t>36</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007E4978" w:rsidRPr="005C06B5">
              <w:t xml:space="preserve"> </w:t>
            </w:r>
            <w:r w:rsidR="007E4978">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7E4978">
              <w:rPr>
                <w:b/>
                <w:bCs/>
                <w:color w:val="000000"/>
              </w:rPr>
              <w:t> </w:t>
            </w:r>
            <w:r w:rsidR="007E4978">
              <w:rPr>
                <w:color w:val="000000"/>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 xml:space="preserve">viešinti paramą, vadovaudamasis Suteiktos paramos pagal Lietuvos kaimo plėtros 2014–2020 metų </w:t>
            </w:r>
            <w:r w:rsidRPr="005220E3">
              <w:rPr>
                <w:sz w:val="22"/>
                <w:szCs w:val="22"/>
              </w:rPr>
              <w:lastRenderedPageBreak/>
              <w:t>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lastRenderedPageBreak/>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 xml:space="preserve">vietos projekto paraiškoje, kituose VPS vykdytojai teikiamuose, taip pat perduodamuose Agentūrai </w:t>
            </w:r>
            <w:r>
              <w:rPr>
                <w:color w:val="000000"/>
                <w:sz w:val="22"/>
                <w:szCs w:val="22"/>
                <w:lang w:eastAsia="lt-LT"/>
              </w:rPr>
              <w:lastRenderedPageBreak/>
              <w:t>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lastRenderedPageBreak/>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4823"/>
    <w:rsid w:val="000069BC"/>
    <w:rsid w:val="000A1629"/>
    <w:rsid w:val="00146988"/>
    <w:rsid w:val="0017296B"/>
    <w:rsid w:val="001F6806"/>
    <w:rsid w:val="00261E0A"/>
    <w:rsid w:val="00330C5C"/>
    <w:rsid w:val="004967C6"/>
    <w:rsid w:val="00512CB7"/>
    <w:rsid w:val="005455B0"/>
    <w:rsid w:val="00557EC8"/>
    <w:rsid w:val="00567DEE"/>
    <w:rsid w:val="005725A1"/>
    <w:rsid w:val="00576DDB"/>
    <w:rsid w:val="005F3DBC"/>
    <w:rsid w:val="00753203"/>
    <w:rsid w:val="00783634"/>
    <w:rsid w:val="007E4978"/>
    <w:rsid w:val="007F64FE"/>
    <w:rsid w:val="008818F3"/>
    <w:rsid w:val="008A5EBC"/>
    <w:rsid w:val="008B6005"/>
    <w:rsid w:val="00987A55"/>
    <w:rsid w:val="00A35BC3"/>
    <w:rsid w:val="00B70421"/>
    <w:rsid w:val="00BA1933"/>
    <w:rsid w:val="00CF2191"/>
    <w:rsid w:val="00D30C93"/>
    <w:rsid w:val="00DF6E7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BAD54-599E-466D-A50E-6A39735E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24772</Words>
  <Characters>14121</Characters>
  <Application>Microsoft Office Word</Application>
  <DocSecurity>0</DocSecurity>
  <Lines>117</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14</cp:revision>
  <cp:lastPrinted>2021-09-15T08:31:00Z</cp:lastPrinted>
  <dcterms:created xsi:type="dcterms:W3CDTF">2021-07-27T17:53:00Z</dcterms:created>
  <dcterms:modified xsi:type="dcterms:W3CDTF">2021-09-28T09:59:00Z</dcterms:modified>
</cp:coreProperties>
</file>