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F605A2">
        <w:t xml:space="preserve"> </w:t>
      </w:r>
      <w:r w:rsidR="00F605A2" w:rsidRPr="00AA30D7">
        <w:t>„Bendruomeninių paslaugų kūrimas ir plė</w:t>
      </w:r>
      <w:r w:rsidR="00FA077B">
        <w:t>tra“ (kodas LEADER-19.2-SAVA-9</w:t>
      </w:r>
      <w:r w:rsidR="00F605A2" w:rsidRPr="00AA30D7">
        <w:t>)</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122B60">
        <w:rPr>
          <w:sz w:val="22"/>
          <w:szCs w:val="22"/>
        </w:rPr>
        <w:t>32</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122B60" w:rsidRDefault="00122B60">
            <w:pPr>
              <w:jc w:val="center"/>
              <w:rPr>
                <w:sz w:val="22"/>
                <w:szCs w:val="22"/>
              </w:rPr>
            </w:pPr>
          </w:p>
          <w:p w:rsidR="00460F34" w:rsidRDefault="00C652A1">
            <w:pPr>
              <w:jc w:val="center"/>
              <w:rPr>
                <w:sz w:val="22"/>
                <w:szCs w:val="22"/>
              </w:rPr>
            </w:pPr>
            <w:r>
              <w:rPr>
                <w:sz w:val="22"/>
                <w:szCs w:val="22"/>
              </w:rPr>
              <w:t>□</w:t>
            </w:r>
          </w:p>
          <w:p w:rsidR="00102D02" w:rsidRDefault="00102D02">
            <w:pPr>
              <w:jc w:val="center"/>
              <w:rPr>
                <w:sz w:val="22"/>
                <w:szCs w:val="22"/>
              </w:rPr>
            </w:pPr>
          </w:p>
          <w:p w:rsidR="00460F34" w:rsidRDefault="00C652A1">
            <w:pPr>
              <w:jc w:val="center"/>
              <w:rPr>
                <w:sz w:val="22"/>
                <w:szCs w:val="22"/>
              </w:rPr>
            </w:pPr>
            <w:r>
              <w:rPr>
                <w:sz w:val="22"/>
                <w:szCs w:val="22"/>
              </w:rPr>
              <w:t>□</w:t>
            </w: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rsidP="00FD2534">
            <w:pPr>
              <w:rPr>
                <w:sz w:val="22"/>
                <w:szCs w:val="22"/>
              </w:rPr>
            </w:pPr>
          </w:p>
          <w:p w:rsidR="003C228D" w:rsidRDefault="003C228D" w:rsidP="00FD2534">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122B60" w:rsidRDefault="00122B60">
            <w:pPr>
              <w:jc w:val="both"/>
              <w:rPr>
                <w:b/>
                <w:sz w:val="22"/>
                <w:szCs w:val="22"/>
              </w:rPr>
            </w:pPr>
          </w:p>
          <w:p w:rsidR="00460F34" w:rsidRDefault="00C652A1">
            <w:pPr>
              <w:jc w:val="both"/>
              <w:rPr>
                <w:sz w:val="22"/>
                <w:szCs w:val="22"/>
              </w:rPr>
            </w:pPr>
            <w:r w:rsidRPr="00122B60">
              <w:rPr>
                <w:sz w:val="22"/>
                <w:szCs w:val="22"/>
              </w:rPr>
              <w:t xml:space="preserve">- </w:t>
            </w:r>
            <w:r w:rsidR="00122B60" w:rsidRPr="00122B60">
              <w:rPr>
                <w:sz w:val="22"/>
                <w:szCs w:val="22"/>
              </w:rPr>
              <w:t xml:space="preserve">iki 2022 03 31  teikiama </w:t>
            </w:r>
            <w:r w:rsidRPr="00122B60">
              <w:rPr>
                <w:sz w:val="22"/>
                <w:szCs w:val="22"/>
              </w:rPr>
              <w:t>asmeniškai VPS vykdytojai</w:t>
            </w:r>
            <w:r w:rsidR="00122B60" w:rsidRPr="00122B60">
              <w:rPr>
                <w:sz w:val="22"/>
                <w:szCs w:val="22"/>
              </w:rPr>
              <w:t>.</w:t>
            </w:r>
          </w:p>
          <w:p w:rsidR="003C228D" w:rsidRPr="00122B60" w:rsidRDefault="00FD2534">
            <w:pPr>
              <w:jc w:val="both"/>
              <w:rPr>
                <w:sz w:val="22"/>
                <w:szCs w:val="22"/>
              </w:rPr>
            </w:pPr>
            <w:r>
              <w:rPr>
                <w:szCs w:val="24"/>
              </w:rPr>
              <w:t>karantino ar ekstremaliosios situacijos dėl COVID-19 ligos (</w:t>
            </w:r>
            <w:proofErr w:type="spellStart"/>
            <w:r>
              <w:rPr>
                <w:szCs w:val="24"/>
              </w:rPr>
              <w:t>koronaviruso</w:t>
            </w:r>
            <w:proofErr w:type="spellEnd"/>
            <w:r>
              <w:rPr>
                <w:szCs w:val="24"/>
              </w:rPr>
              <w:t xml:space="preserve"> infekcijos) plitimo grėsmės metu pareiškėjas pasirašytą vietos projekto paraišką Alytaus rajono   vietos veiklos grupės darbo laiku  pateikė pasinaudodamas „Alytaus rajono vietos </w:t>
            </w:r>
            <w:proofErr w:type="spellStart"/>
            <w:r>
              <w:rPr>
                <w:szCs w:val="24"/>
              </w:rPr>
              <w:t>veuklos</w:t>
            </w:r>
            <w:proofErr w:type="spellEnd"/>
            <w:r>
              <w:rPr>
                <w:szCs w:val="24"/>
              </w:rPr>
              <w:t xml:space="preserve"> grupės paraiškų dėžute“.</w:t>
            </w:r>
          </w:p>
          <w:p w:rsidR="00453EE3" w:rsidRDefault="00C652A1" w:rsidP="00122B60">
            <w:pPr>
              <w:jc w:val="both"/>
              <w:rPr>
                <w:sz w:val="22"/>
                <w:szCs w:val="22"/>
              </w:rPr>
            </w:pPr>
            <w:r w:rsidRPr="00122B60">
              <w:rPr>
                <w:sz w:val="22"/>
                <w:szCs w:val="22"/>
              </w:rPr>
              <w:t xml:space="preserve">- </w:t>
            </w:r>
            <w:r w:rsidR="00122B60" w:rsidRPr="00122B60">
              <w:rPr>
                <w:sz w:val="22"/>
                <w:szCs w:val="22"/>
              </w:rPr>
              <w:t xml:space="preserve">nuo 2022 04 01 teikiama tik </w:t>
            </w:r>
            <w:r w:rsidRPr="00122B60">
              <w:rPr>
                <w:sz w:val="22"/>
                <w:szCs w:val="22"/>
              </w:rPr>
              <w:t>el. paštu</w:t>
            </w:r>
            <w:r w:rsidR="00453EE3">
              <w:rPr>
                <w:sz w:val="22"/>
                <w:szCs w:val="22"/>
              </w:rPr>
              <w:t>:</w:t>
            </w:r>
          </w:p>
          <w:p w:rsidR="00453EE3" w:rsidRDefault="00453EE3" w:rsidP="00122B60">
            <w:pPr>
              <w:jc w:val="both"/>
              <w:rPr>
                <w:sz w:val="22"/>
                <w:szCs w:val="22"/>
              </w:rPr>
            </w:pPr>
            <w:hyperlink r:id="rId7" w:history="1">
              <w:r w:rsidRPr="006B24BB">
                <w:rPr>
                  <w:rStyle w:val="Hipersaitas"/>
                  <w:b/>
                </w:rPr>
                <w:t>alytausrvvgprojektai@gmail.com</w:t>
              </w:r>
            </w:hyperlink>
            <w:r w:rsidRPr="006B24BB">
              <w:rPr>
                <w:b/>
              </w:rPr>
              <w:t xml:space="preserve">   </w:t>
            </w:r>
          </w:p>
          <w:p w:rsidR="00460F34" w:rsidRDefault="00C652A1" w:rsidP="00122B60">
            <w:pPr>
              <w:jc w:val="both"/>
              <w:rPr>
                <w:sz w:val="22"/>
                <w:szCs w:val="22"/>
              </w:rPr>
            </w:pPr>
            <w:r w:rsidRPr="00122B60">
              <w:rPr>
                <w:sz w:val="22"/>
                <w:szCs w:val="22"/>
              </w:rPr>
              <w:t xml:space="preserve"> </w:t>
            </w:r>
            <w:proofErr w:type="spellStart"/>
            <w:r w:rsidR="00122B60" w:rsidRPr="00122B60">
              <w:rPr>
                <w:sz w:val="22"/>
                <w:szCs w:val="22"/>
              </w:rPr>
              <w:t>pasisirašius</w:t>
            </w:r>
            <w:proofErr w:type="spellEnd"/>
            <w:r w:rsidR="00122B60" w:rsidRPr="00122B60">
              <w:rPr>
                <w:sz w:val="22"/>
                <w:szCs w:val="22"/>
              </w:rPr>
              <w:t xml:space="preserve"> kvalifikuotu elektroniniu parašu</w:t>
            </w:r>
            <w:r w:rsidR="00FD2534">
              <w:rPr>
                <w:sz w:val="22"/>
                <w:szCs w:val="22"/>
              </w:rPr>
              <w:t>.</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w:t>
            </w:r>
            <w:r w:rsidR="00122B60">
              <w:rPr>
                <w:sz w:val="22"/>
                <w:szCs w:val="22"/>
              </w:rPr>
              <w:t xml:space="preserve"> </w:t>
            </w:r>
            <w:r>
              <w:rPr>
                <w:sz w:val="22"/>
                <w:szCs w:val="22"/>
              </w:rPr>
              <w:t>juridinio asmens vadovo arba tinkamai įgalioto asmens (pateiktas atstovavimo teisės įrodymo dokumentas)</w:t>
            </w:r>
            <w:r w:rsidR="00122B60">
              <w:rPr>
                <w:sz w:val="22"/>
                <w:szCs w:val="22"/>
              </w:rPr>
              <w:t>.</w:t>
            </w:r>
          </w:p>
          <w:p w:rsidR="00460F34" w:rsidRDefault="00C652A1" w:rsidP="00122B6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rsidR="00122B60">
              <w:rPr>
                <w:sz w:val="22"/>
                <w:szCs w:val="22"/>
              </w:rPr>
              <w:t xml:space="preserve"> arba įgaliojimas, kuriame parašo tikrumą paliudijo seniūnas</w:t>
            </w:r>
            <w:r>
              <w:rPr>
                <w:sz w:val="22"/>
                <w:szCs w:val="22"/>
              </w:rPr>
              <w:t>)</w:t>
            </w:r>
            <w:r w:rsidR="00122B60">
              <w:rPr>
                <w:sz w:val="22"/>
                <w:szCs w:val="22"/>
              </w:rPr>
              <w:t>.</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 xml:space="preserve">Įrašykite tikslią kontaktinę informaciją, kuria bus </w:t>
            </w:r>
            <w:r>
              <w:rPr>
                <w:i/>
                <w:sz w:val="22"/>
                <w:szCs w:val="22"/>
              </w:rPr>
              <w:lastRenderedPageBreak/>
              <w:t>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lastRenderedPageBreak/>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C754C7">
            <w:pPr>
              <w:jc w:val="both"/>
              <w:rPr>
                <w:sz w:val="22"/>
                <w:szCs w:val="22"/>
              </w:rPr>
            </w:pPr>
            <w:r>
              <w:rPr>
                <w:sz w:val="22"/>
                <w:szCs w:val="22"/>
              </w:rPr>
              <w:t xml:space="preserve">- </w:t>
            </w:r>
            <w:r w:rsidR="00DD517E" w:rsidRPr="00DD517E">
              <w:rPr>
                <w:sz w:val="22"/>
                <w:szCs w:val="22"/>
              </w:rPr>
              <w:t xml:space="preserve">pagal </w:t>
            </w:r>
            <w:r w:rsidR="00F605A2" w:rsidRPr="00AA30D7">
              <w:t>VPS</w:t>
            </w:r>
            <w:r w:rsidR="00F605A2" w:rsidRPr="00760997">
              <w:rPr>
                <w:szCs w:val="24"/>
              </w:rPr>
              <w:t xml:space="preserve"> </w:t>
            </w:r>
            <w:r w:rsidR="00F605A2">
              <w:rPr>
                <w:szCs w:val="24"/>
              </w:rPr>
              <w:t>p</w:t>
            </w:r>
            <w:r w:rsidR="00F605A2" w:rsidRPr="00760997">
              <w:rPr>
                <w:szCs w:val="24"/>
              </w:rPr>
              <w:t>riemon</w:t>
            </w:r>
            <w:r w:rsidR="00F605A2">
              <w:rPr>
                <w:szCs w:val="24"/>
              </w:rPr>
              <w:t>ės</w:t>
            </w:r>
            <w:r w:rsidR="00F605A2" w:rsidRPr="00760997">
              <w:rPr>
                <w:szCs w:val="24"/>
              </w:rPr>
              <w:t xml:space="preserve"> </w:t>
            </w:r>
            <w:r w:rsidR="00F605A2" w:rsidRPr="00AA30D7">
              <w:t>„Bendruomeninių paslaugų kūrimas ir plė</w:t>
            </w:r>
            <w:r w:rsidR="00FA077B">
              <w:t>tra“ (kodas LEADER-19.2-SAVA-9</w:t>
            </w:r>
            <w:r w:rsidR="00C349A9" w:rsidRPr="00AA30D7">
              <w:t>)</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CB3AED">
              <w:rPr>
                <w:sz w:val="22"/>
                <w:szCs w:val="22"/>
              </w:rPr>
              <w:t xml:space="preserve">Alytaus rajono vietos veiklos grupės </w:t>
            </w:r>
            <w:r w:rsidR="00CB3AED" w:rsidRPr="00552340">
              <w:rPr>
                <w:sz w:val="22"/>
                <w:szCs w:val="22"/>
              </w:rPr>
              <w:t>valdybos</w:t>
            </w:r>
            <w:r w:rsidRPr="00552340">
              <w:rPr>
                <w:sz w:val="22"/>
                <w:szCs w:val="22"/>
              </w:rPr>
              <w:t xml:space="preserve"> </w:t>
            </w:r>
            <w:r w:rsidR="001F6A35" w:rsidRPr="00ED27AA">
              <w:rPr>
                <w:sz w:val="22"/>
                <w:szCs w:val="22"/>
              </w:rPr>
              <w:t>20</w:t>
            </w:r>
            <w:r w:rsidR="00741E18" w:rsidRPr="00ED27AA">
              <w:rPr>
                <w:sz w:val="22"/>
                <w:szCs w:val="22"/>
              </w:rPr>
              <w:t>2</w:t>
            </w:r>
            <w:r w:rsidR="00FA077B">
              <w:rPr>
                <w:sz w:val="22"/>
                <w:szCs w:val="22"/>
              </w:rPr>
              <w:t>2</w:t>
            </w:r>
            <w:r w:rsidR="001F6A35" w:rsidRPr="00ED27AA">
              <w:rPr>
                <w:sz w:val="22"/>
                <w:szCs w:val="22"/>
              </w:rPr>
              <w:t xml:space="preserve"> m. </w:t>
            </w:r>
            <w:r w:rsidR="00C754C7">
              <w:rPr>
                <w:sz w:val="22"/>
                <w:szCs w:val="22"/>
              </w:rPr>
              <w:t xml:space="preserve">kovo 25 </w:t>
            </w:r>
            <w:r w:rsidR="001F6A35" w:rsidRPr="00ED27AA">
              <w:rPr>
                <w:sz w:val="22"/>
                <w:szCs w:val="22"/>
              </w:rPr>
              <w:t xml:space="preserve">d. </w:t>
            </w:r>
            <w:r w:rsidR="00880556" w:rsidRPr="00ED27AA">
              <w:rPr>
                <w:sz w:val="22"/>
                <w:szCs w:val="22"/>
              </w:rPr>
              <w:t xml:space="preserve">rašytinio sprendimo </w:t>
            </w:r>
            <w:r w:rsidR="00B3051C" w:rsidRPr="00ED27AA">
              <w:rPr>
                <w:sz w:val="22"/>
                <w:szCs w:val="22"/>
              </w:rPr>
              <w:t xml:space="preserve"> priėmimo  </w:t>
            </w:r>
            <w:r w:rsidR="00880556" w:rsidRPr="00ED27AA">
              <w:rPr>
                <w:sz w:val="22"/>
                <w:szCs w:val="22"/>
              </w:rPr>
              <w:t xml:space="preserve">procedūros </w:t>
            </w:r>
            <w:r w:rsidR="001F6A35" w:rsidRPr="00ED27AA">
              <w:rPr>
                <w:sz w:val="22"/>
                <w:szCs w:val="22"/>
              </w:rPr>
              <w:t xml:space="preserve">protokolu </w:t>
            </w:r>
            <w:r w:rsidRPr="00ED27AA">
              <w:rPr>
                <w:sz w:val="22"/>
                <w:szCs w:val="22"/>
              </w:rPr>
              <w:t xml:space="preserve">Nr. </w:t>
            </w:r>
            <w:r w:rsidR="00FA077B">
              <w:rPr>
                <w:sz w:val="22"/>
                <w:szCs w:val="22"/>
              </w:rPr>
              <w:t>1</w:t>
            </w:r>
            <w:r w:rsidR="00C754C7">
              <w:rPr>
                <w:sz w:val="22"/>
                <w:szCs w:val="22"/>
              </w:rPr>
              <w:t>9</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 xml:space="preserve">Pildo pareiškėjas. Jeigu atitiktį vietos projektų atrankos kriterijui įrodo prie vietos projekto paraiškos pateikti dokumentai, šioje lentelėje pateikiama nuoroda į vietos </w:t>
            </w:r>
            <w:r>
              <w:rPr>
                <w:i/>
                <w:sz w:val="22"/>
                <w:szCs w:val="22"/>
              </w:rPr>
              <w:lastRenderedPageBreak/>
              <w:t>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lastRenderedPageBreak/>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lastRenderedPageBreak/>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FA077B" w:rsidRPr="00FA077B" w:rsidRDefault="00CF192F" w:rsidP="00406565">
            <w:pPr>
              <w:tabs>
                <w:tab w:val="left" w:pos="567"/>
              </w:tabs>
              <w:jc w:val="both"/>
              <w:rPr>
                <w:b/>
                <w:sz w:val="22"/>
                <w:szCs w:val="22"/>
              </w:rPr>
            </w:pPr>
            <w:r w:rsidRPr="00FA077B">
              <w:rPr>
                <w:b/>
                <w:sz w:val="22"/>
                <w:szCs w:val="22"/>
              </w:rPr>
              <w:t xml:space="preserve">Planuojamos išlaidos grindžiamos pagal Aprašą, skirtą VPS </w:t>
            </w:r>
            <w:proofErr w:type="spellStart"/>
            <w:r w:rsidRPr="00FA077B">
              <w:rPr>
                <w:b/>
                <w:sz w:val="22"/>
                <w:szCs w:val="22"/>
              </w:rPr>
              <w:t>priemonės</w:t>
            </w:r>
            <w:r w:rsidR="00FA077B" w:rsidRPr="00FA077B">
              <w:rPr>
                <w:b/>
              </w:rPr>
              <w:t>„Bendruomeninių</w:t>
            </w:r>
            <w:proofErr w:type="spellEnd"/>
            <w:r w:rsidR="00FA077B" w:rsidRPr="00FA077B">
              <w:rPr>
                <w:b/>
              </w:rPr>
              <w:t xml:space="preserve"> paslaugų kūrimas ir plėtra“ (kodas LEADER-19.2-SAVA-9)</w:t>
            </w:r>
            <w:r w:rsidR="00FA077B" w:rsidRPr="00FA077B">
              <w:rPr>
                <w:b/>
                <w:sz w:val="22"/>
                <w:szCs w:val="22"/>
              </w:rPr>
              <w:t xml:space="preserve">, patvirtintą Alytaus rajono vietos veiklos grupės valdybos 2022 m. </w:t>
            </w:r>
            <w:r w:rsidR="00C754C7">
              <w:rPr>
                <w:b/>
                <w:sz w:val="22"/>
                <w:szCs w:val="22"/>
              </w:rPr>
              <w:t>kovo 25</w:t>
            </w:r>
            <w:r w:rsidR="00FA077B" w:rsidRPr="00FA077B">
              <w:rPr>
                <w:b/>
                <w:sz w:val="22"/>
                <w:szCs w:val="22"/>
              </w:rPr>
              <w:t xml:space="preserve"> d. rašytinio sprendimo  priėmimo  procedūro</w:t>
            </w:r>
            <w:r w:rsidR="00453EE3">
              <w:rPr>
                <w:b/>
                <w:sz w:val="22"/>
                <w:szCs w:val="22"/>
              </w:rPr>
              <w:t>s protokolu Nr.</w:t>
            </w:r>
            <w:r w:rsidR="00FA077B" w:rsidRPr="00FA077B">
              <w:rPr>
                <w:b/>
                <w:sz w:val="22"/>
                <w:szCs w:val="22"/>
              </w:rPr>
              <w:t>1</w:t>
            </w:r>
            <w:r w:rsidR="00C754C7">
              <w:rPr>
                <w:b/>
                <w:sz w:val="22"/>
                <w:szCs w:val="22"/>
              </w:rPr>
              <w:t>9</w:t>
            </w:r>
            <w:r w:rsidR="00453EE3">
              <w:rPr>
                <w:b/>
                <w:sz w:val="22"/>
                <w:szCs w:val="22"/>
              </w:rPr>
              <w:t>.</w:t>
            </w:r>
          </w:p>
          <w:p w:rsidR="00406565" w:rsidRDefault="00CF192F" w:rsidP="00406565">
            <w:pPr>
              <w:tabs>
                <w:tab w:val="left" w:pos="567"/>
              </w:tabs>
              <w:jc w:val="both"/>
              <w:rPr>
                <w:szCs w:val="24"/>
              </w:rPr>
            </w:pP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lastRenderedPageBreak/>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FA077B" w:rsidP="00337EB8">
            <w:pPr>
              <w:jc w:val="both"/>
              <w:rPr>
                <w:color w:val="000000"/>
                <w:szCs w:val="24"/>
              </w:rPr>
            </w:pPr>
            <w:r w:rsidRPr="00FA077B">
              <w:rPr>
                <w:rFonts w:eastAsia="Calibri"/>
              </w:rPr>
              <w:t xml:space="preserve">apdrausti turtą, kuriam pagal nacionalinius teisės aktus privaloma teisinė registracija (pvz.: </w:t>
            </w:r>
            <w:r w:rsidRPr="00FA077B">
              <w:rPr>
                <w:rFonts w:eastAsia="Calibri"/>
              </w:rPr>
              <w:lastRenderedPageBreak/>
              <w:t>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0C63F4">
            <w:pPr>
              <w:jc w:val="both"/>
              <w:rPr>
                <w:sz w:val="22"/>
                <w:szCs w:val="22"/>
              </w:rPr>
            </w:pPr>
            <w:r w:rsidRPr="00276501">
              <w:rPr>
                <w:sz w:val="22"/>
                <w:szCs w:val="22"/>
              </w:rPr>
              <w:t xml:space="preserve">Įgyvendinti projektą per nurodytą laikotarpį, kuris neviršija </w:t>
            </w:r>
            <w:r w:rsidR="000C63F4">
              <w:rPr>
                <w:sz w:val="22"/>
                <w:szCs w:val="22"/>
              </w:rPr>
              <w:t>36</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užtikrinti, kad įsigytos investicijos, įgyvendinus projektą, atitiks Valstybinės maisto ir veterinarijos </w:t>
            </w:r>
            <w:r w:rsidRPr="007B29A2">
              <w:rPr>
                <w:sz w:val="22"/>
                <w:szCs w:val="18"/>
              </w:rPr>
              <w:lastRenderedPageBreak/>
              <w:t>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FA077B" w:rsidP="007B29A2">
            <w:pPr>
              <w:jc w:val="both"/>
              <w:rPr>
                <w:i/>
                <w:sz w:val="22"/>
                <w:szCs w:val="18"/>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 xml:space="preserve">nuo paramos paraiškos pateikimo dienos iki projekto kontrolės laikotarpio pabaigos </w:t>
            </w:r>
            <w:r w:rsidRPr="007B29A2">
              <w:rPr>
                <w:color w:val="000000"/>
                <w:spacing w:val="4"/>
                <w:sz w:val="22"/>
                <w:szCs w:val="18"/>
              </w:rPr>
              <w:lastRenderedPageBreak/>
              <w:t>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 xml:space="preserve">Ši dalis pildoma tuo atveju, jeigu vietos projekte prašoma paramos suma neviršija arba yra lygi 15 tūkst. Eur (penkiolikai tūkstančių eurų). Jeigu 9 dalyje pasirenkamas kompensavimo su avanso mokėjimu, kai avansas nėra EK tinkamos deklaruoti išlaidos, būdas, informacija </w:t>
            </w:r>
            <w:r>
              <w:rPr>
                <w:i/>
                <w:sz w:val="22"/>
                <w:szCs w:val="22"/>
              </w:rPr>
              <w:lastRenderedPageBreak/>
              <w:t>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w:t>
            </w:r>
            <w:r>
              <w:rPr>
                <w:sz w:val="22"/>
                <w:szCs w:val="22"/>
              </w:rPr>
              <w:lastRenderedPageBreak/>
              <w:t>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w:t>
            </w:r>
            <w:r>
              <w:rPr>
                <w:color w:val="000000"/>
                <w:sz w:val="22"/>
                <w:szCs w:val="22"/>
                <w:lang w:eastAsia="lt-LT"/>
              </w:rPr>
              <w:lastRenderedPageBreak/>
              <w:t>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75" w:rsidRDefault="000C5275">
      <w:pPr>
        <w:overflowPunct w:val="0"/>
        <w:jc w:val="both"/>
        <w:textAlignment w:val="baseline"/>
      </w:pPr>
      <w:r>
        <w:separator/>
      </w:r>
    </w:p>
  </w:endnote>
  <w:endnote w:type="continuationSeparator" w:id="0">
    <w:p w:rsidR="000C5275" w:rsidRDefault="000C5275">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00"/>
    <w:family w:val="roman"/>
    <w:pitch w:val="variable"/>
    <w:sig w:usb0="00000000" w:usb1="80000000" w:usb2="00000008"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75" w:rsidRDefault="000C5275">
      <w:pPr>
        <w:overflowPunct w:val="0"/>
        <w:jc w:val="both"/>
        <w:textAlignment w:val="baseline"/>
      </w:pPr>
      <w:r>
        <w:separator/>
      </w:r>
    </w:p>
  </w:footnote>
  <w:footnote w:type="continuationSeparator" w:id="0">
    <w:p w:rsidR="000C5275" w:rsidRDefault="000C5275">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836882">
    <w:pPr>
      <w:tabs>
        <w:tab w:val="center" w:pos="4153"/>
        <w:tab w:val="right" w:pos="8306"/>
      </w:tabs>
      <w:overflowPunct w:val="0"/>
      <w:jc w:val="center"/>
      <w:textAlignment w:val="baseline"/>
      <w:rPr>
        <w:lang w:val="en-GB"/>
      </w:rPr>
    </w:pPr>
    <w:r>
      <w:rPr>
        <w:lang w:val="en-GB"/>
      </w:rPr>
      <w:fldChar w:fldCharType="begin"/>
    </w:r>
    <w:r w:rsidR="00122B60">
      <w:rPr>
        <w:lang w:val="en-GB"/>
      </w:rPr>
      <w:instrText>PAGE   \* MERGEFORMAT</w:instrText>
    </w:r>
    <w:r>
      <w:rPr>
        <w:lang w:val="en-GB"/>
      </w:rPr>
      <w:fldChar w:fldCharType="separate"/>
    </w:r>
    <w:r w:rsidR="00453EE3" w:rsidRPr="00453EE3">
      <w:rPr>
        <w:noProof/>
      </w:rPr>
      <w:t>12</w:t>
    </w:r>
    <w:r>
      <w:rPr>
        <w:lang w:val="en-GB"/>
      </w:rPr>
      <w:fldChar w:fldCharType="end"/>
    </w:r>
  </w:p>
  <w:p w:rsidR="00122B60" w:rsidRDefault="00122B6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0" w:rsidRDefault="00122B60">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88066"/>
  </w:hdrShapeDefaults>
  <w:footnotePr>
    <w:footnote w:id="-1"/>
    <w:footnote w:id="0"/>
  </w:footnotePr>
  <w:endnotePr>
    <w:endnote w:id="-1"/>
    <w:endnote w:id="0"/>
  </w:endnotePr>
  <w:compat/>
  <w:rsids>
    <w:rsidRoot w:val="00BF1F90"/>
    <w:rsid w:val="00020EA5"/>
    <w:rsid w:val="000467EF"/>
    <w:rsid w:val="00050690"/>
    <w:rsid w:val="0005215A"/>
    <w:rsid w:val="00053028"/>
    <w:rsid w:val="00057FEF"/>
    <w:rsid w:val="00073895"/>
    <w:rsid w:val="000C5275"/>
    <w:rsid w:val="000C63F4"/>
    <w:rsid w:val="00102D02"/>
    <w:rsid w:val="00112E8B"/>
    <w:rsid w:val="00122B60"/>
    <w:rsid w:val="001A04AC"/>
    <w:rsid w:val="001E69C1"/>
    <w:rsid w:val="001F4DD2"/>
    <w:rsid w:val="001F6A35"/>
    <w:rsid w:val="0021778B"/>
    <w:rsid w:val="002D31BC"/>
    <w:rsid w:val="002D53CC"/>
    <w:rsid w:val="002E54C9"/>
    <w:rsid w:val="0031600C"/>
    <w:rsid w:val="003309FC"/>
    <w:rsid w:val="00337EB8"/>
    <w:rsid w:val="003535B5"/>
    <w:rsid w:val="0038040E"/>
    <w:rsid w:val="003A1BF9"/>
    <w:rsid w:val="003C228D"/>
    <w:rsid w:val="003D37C2"/>
    <w:rsid w:val="00406565"/>
    <w:rsid w:val="00416837"/>
    <w:rsid w:val="00416C81"/>
    <w:rsid w:val="004367AE"/>
    <w:rsid w:val="00453EE3"/>
    <w:rsid w:val="00460F34"/>
    <w:rsid w:val="00470BFB"/>
    <w:rsid w:val="004A1EEC"/>
    <w:rsid w:val="004B0488"/>
    <w:rsid w:val="004B19D5"/>
    <w:rsid w:val="004B31BE"/>
    <w:rsid w:val="004C0764"/>
    <w:rsid w:val="004F3D85"/>
    <w:rsid w:val="004F55C0"/>
    <w:rsid w:val="00526D44"/>
    <w:rsid w:val="00537E0E"/>
    <w:rsid w:val="00552340"/>
    <w:rsid w:val="0056424B"/>
    <w:rsid w:val="005B495E"/>
    <w:rsid w:val="005D3A52"/>
    <w:rsid w:val="00607AA1"/>
    <w:rsid w:val="00690193"/>
    <w:rsid w:val="006930AA"/>
    <w:rsid w:val="006A4E39"/>
    <w:rsid w:val="006C1DB5"/>
    <w:rsid w:val="006C7CA2"/>
    <w:rsid w:val="006E4E1F"/>
    <w:rsid w:val="00741E18"/>
    <w:rsid w:val="00746872"/>
    <w:rsid w:val="00793844"/>
    <w:rsid w:val="007B29A2"/>
    <w:rsid w:val="007F7E5A"/>
    <w:rsid w:val="00815896"/>
    <w:rsid w:val="00836882"/>
    <w:rsid w:val="008543B8"/>
    <w:rsid w:val="0087783E"/>
    <w:rsid w:val="00880556"/>
    <w:rsid w:val="0089121A"/>
    <w:rsid w:val="008F27D9"/>
    <w:rsid w:val="0090439E"/>
    <w:rsid w:val="00994C64"/>
    <w:rsid w:val="009C6B4B"/>
    <w:rsid w:val="009D0AE6"/>
    <w:rsid w:val="00A019C7"/>
    <w:rsid w:val="00AB159D"/>
    <w:rsid w:val="00AC12D5"/>
    <w:rsid w:val="00B02026"/>
    <w:rsid w:val="00B12DA2"/>
    <w:rsid w:val="00B17CEC"/>
    <w:rsid w:val="00B22B66"/>
    <w:rsid w:val="00B3051C"/>
    <w:rsid w:val="00B334D8"/>
    <w:rsid w:val="00B353E9"/>
    <w:rsid w:val="00B3707B"/>
    <w:rsid w:val="00B6624B"/>
    <w:rsid w:val="00BA441B"/>
    <w:rsid w:val="00BF1F90"/>
    <w:rsid w:val="00C0389F"/>
    <w:rsid w:val="00C312DA"/>
    <w:rsid w:val="00C349A9"/>
    <w:rsid w:val="00C62066"/>
    <w:rsid w:val="00C652A1"/>
    <w:rsid w:val="00C754C7"/>
    <w:rsid w:val="00CA4B8B"/>
    <w:rsid w:val="00CB3AED"/>
    <w:rsid w:val="00CB4EE3"/>
    <w:rsid w:val="00CC7D17"/>
    <w:rsid w:val="00CF192F"/>
    <w:rsid w:val="00D048CC"/>
    <w:rsid w:val="00D135CD"/>
    <w:rsid w:val="00D4678C"/>
    <w:rsid w:val="00D9412F"/>
    <w:rsid w:val="00DD517E"/>
    <w:rsid w:val="00DE6CD1"/>
    <w:rsid w:val="00E77B8E"/>
    <w:rsid w:val="00E80239"/>
    <w:rsid w:val="00E80662"/>
    <w:rsid w:val="00EC472B"/>
    <w:rsid w:val="00ED27AA"/>
    <w:rsid w:val="00F251F3"/>
    <w:rsid w:val="00F605A2"/>
    <w:rsid w:val="00F63FAB"/>
    <w:rsid w:val="00F96CD2"/>
    <w:rsid w:val="00FA077B"/>
    <w:rsid w:val="00FD2534"/>
    <w:rsid w:val="00FF46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 w:type="character" w:styleId="Hipersaitas">
    <w:name w:val="Hyperlink"/>
    <w:uiPriority w:val="99"/>
    <w:unhideWhenUsed/>
    <w:rsid w:val="00453EE3"/>
    <w:rPr>
      <w:color w:val="0000FF"/>
      <w:u w:val="single"/>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22770</Words>
  <Characters>12979</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35678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2022-03-25T10:42:00Z</dcterms:modified>
</cp:coreProperties>
</file>