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F605A2">
        <w:t xml:space="preserve"> </w:t>
      </w:r>
      <w:r w:rsidR="00F605A2" w:rsidRPr="00AA30D7">
        <w:t>„Bendruomeninių paslaugų kūrimas ir plė</w:t>
      </w:r>
      <w:r w:rsidR="00FA077B">
        <w:t>tra“ (kodas LEADER-19.2-SAVA-9</w:t>
      </w:r>
      <w:r w:rsidR="00F605A2" w:rsidRPr="00AA30D7">
        <w:t>)</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122B60">
        <w:rPr>
          <w:sz w:val="22"/>
          <w:szCs w:val="22"/>
        </w:rPr>
        <w:t>3</w:t>
      </w:r>
      <w:r w:rsidR="008A1D20">
        <w:rPr>
          <w:sz w:val="22"/>
          <w:szCs w:val="22"/>
        </w:rPr>
        <w:t>4</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rsidTr="002F1D15">
        <w:trPr>
          <w:trHeight w:val="235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122B60" w:rsidRDefault="00122B60">
            <w:pPr>
              <w:jc w:val="center"/>
              <w:rPr>
                <w:sz w:val="22"/>
                <w:szCs w:val="22"/>
              </w:rPr>
            </w:pPr>
          </w:p>
          <w:p w:rsidR="00460F34" w:rsidRDefault="00460F34">
            <w:pPr>
              <w:jc w:val="center"/>
              <w:rPr>
                <w:sz w:val="22"/>
                <w:szCs w:val="22"/>
              </w:rPr>
            </w:pPr>
          </w:p>
          <w:p w:rsidR="00102D02" w:rsidRDefault="00102D02">
            <w:pPr>
              <w:jc w:val="center"/>
              <w:rPr>
                <w:sz w:val="22"/>
                <w:szCs w:val="22"/>
              </w:rPr>
            </w:pPr>
          </w:p>
          <w:p w:rsidR="00460F34" w:rsidRDefault="00C652A1">
            <w:pPr>
              <w:jc w:val="center"/>
              <w:rPr>
                <w:sz w:val="22"/>
                <w:szCs w:val="22"/>
              </w:rPr>
            </w:pPr>
            <w:r>
              <w:rPr>
                <w:sz w:val="22"/>
                <w:szCs w:val="22"/>
              </w:rPr>
              <w:t>□</w:t>
            </w: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rsidP="00FD2534">
            <w:pPr>
              <w:rPr>
                <w:sz w:val="22"/>
                <w:szCs w:val="22"/>
              </w:rPr>
            </w:pPr>
          </w:p>
          <w:p w:rsidR="003C228D" w:rsidRDefault="003C228D" w:rsidP="00FD2534">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122B60" w:rsidRDefault="00122B60">
            <w:pPr>
              <w:jc w:val="both"/>
              <w:rPr>
                <w:b/>
                <w:sz w:val="22"/>
                <w:szCs w:val="22"/>
              </w:rPr>
            </w:pPr>
          </w:p>
          <w:p w:rsidR="00453EE3" w:rsidRPr="002F1D15" w:rsidRDefault="002F1D15" w:rsidP="00122B60">
            <w:pPr>
              <w:jc w:val="both"/>
              <w:rPr>
                <w:szCs w:val="24"/>
              </w:rPr>
            </w:pPr>
            <w:r w:rsidRPr="002F1D15">
              <w:rPr>
                <w:szCs w:val="24"/>
              </w:rPr>
              <w:t xml:space="preserve">Pateikta </w:t>
            </w:r>
            <w:r w:rsidR="00122B60" w:rsidRPr="002F1D15">
              <w:rPr>
                <w:szCs w:val="24"/>
              </w:rPr>
              <w:t xml:space="preserve"> </w:t>
            </w:r>
            <w:r w:rsidR="00C652A1" w:rsidRPr="002F1D15">
              <w:rPr>
                <w:szCs w:val="24"/>
              </w:rPr>
              <w:t>el. paštu</w:t>
            </w:r>
            <w:r w:rsidR="00453EE3" w:rsidRPr="002F1D15">
              <w:rPr>
                <w:szCs w:val="24"/>
              </w:rPr>
              <w:t>:</w:t>
            </w:r>
          </w:p>
          <w:p w:rsidR="00453EE3" w:rsidRPr="002F1D15" w:rsidRDefault="006404B3" w:rsidP="00122B60">
            <w:pPr>
              <w:jc w:val="both"/>
              <w:rPr>
                <w:szCs w:val="24"/>
              </w:rPr>
            </w:pPr>
            <w:hyperlink r:id="rId7" w:history="1">
              <w:r w:rsidR="0063783D" w:rsidRPr="002F1D15">
                <w:rPr>
                  <w:rStyle w:val="Hipersaitas"/>
                  <w:b/>
                  <w:szCs w:val="24"/>
                </w:rPr>
                <w:t>alytausrajonovvgprojektai@gmail.com</w:t>
              </w:r>
            </w:hyperlink>
            <w:r w:rsidR="00453EE3" w:rsidRPr="002F1D15">
              <w:rPr>
                <w:b/>
                <w:szCs w:val="24"/>
              </w:rPr>
              <w:t xml:space="preserve">   </w:t>
            </w:r>
          </w:p>
          <w:p w:rsidR="00460F34" w:rsidRDefault="00C652A1" w:rsidP="00122B60">
            <w:pPr>
              <w:jc w:val="both"/>
              <w:rPr>
                <w:sz w:val="22"/>
                <w:szCs w:val="22"/>
              </w:rPr>
            </w:pPr>
            <w:r w:rsidRPr="002F1D15">
              <w:rPr>
                <w:szCs w:val="24"/>
              </w:rPr>
              <w:t xml:space="preserve"> </w:t>
            </w:r>
            <w:proofErr w:type="spellStart"/>
            <w:r w:rsidR="00122B60" w:rsidRPr="002F1D15">
              <w:rPr>
                <w:szCs w:val="24"/>
              </w:rPr>
              <w:t>pasisirašius</w:t>
            </w:r>
            <w:proofErr w:type="spellEnd"/>
            <w:r w:rsidR="00122B60" w:rsidRPr="002F1D15">
              <w:rPr>
                <w:szCs w:val="24"/>
              </w:rPr>
              <w:t xml:space="preserve"> kvalifikuotu elektroniniu parašu</w:t>
            </w:r>
            <w:r w:rsidR="00FD2534">
              <w:rPr>
                <w:sz w:val="22"/>
                <w:szCs w:val="22"/>
              </w:rPr>
              <w:t>.</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w:t>
            </w:r>
            <w:r w:rsidR="00122B60">
              <w:rPr>
                <w:sz w:val="22"/>
                <w:szCs w:val="22"/>
              </w:rPr>
              <w:t xml:space="preserve"> </w:t>
            </w:r>
            <w:r>
              <w:rPr>
                <w:sz w:val="22"/>
                <w:szCs w:val="22"/>
              </w:rPr>
              <w:t>juridinio asmens vadovo arba tinkamai įgalioto asmens (pateiktas atstovavimo teisės įrodymo dokumentas)</w:t>
            </w:r>
            <w:r w:rsidR="00122B60">
              <w:rPr>
                <w:sz w:val="22"/>
                <w:szCs w:val="22"/>
              </w:rPr>
              <w:t>.</w:t>
            </w:r>
          </w:p>
          <w:p w:rsidR="00460F34" w:rsidRDefault="00C652A1" w:rsidP="00122B6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rsidR="00122B60">
              <w:rPr>
                <w:sz w:val="22"/>
                <w:szCs w:val="22"/>
              </w:rPr>
              <w:t xml:space="preserve"> arba įgaliojimas, kuriame parašo tikrumą paliudijo seniūnas</w:t>
            </w:r>
            <w:r>
              <w:rPr>
                <w:sz w:val="22"/>
                <w:szCs w:val="22"/>
              </w:rPr>
              <w:t>)</w:t>
            </w:r>
            <w:r w:rsidR="00122B60">
              <w:rPr>
                <w:sz w:val="22"/>
                <w:szCs w:val="22"/>
              </w:rPr>
              <w:t>.</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 xml:space="preserve">Įrašykite tikslią kontaktinę informaciją, kuria bus siunčiama visa informacija, susijusi su vietos projekto </w:t>
            </w:r>
            <w:r>
              <w:rPr>
                <w:i/>
                <w:sz w:val="22"/>
                <w:szCs w:val="22"/>
              </w:rPr>
              <w:lastRenderedPageBreak/>
              <w:t>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w:t>
            </w:r>
            <w:r>
              <w:rPr>
                <w:sz w:val="22"/>
                <w:szCs w:val="22"/>
              </w:rPr>
              <w:lastRenderedPageBreak/>
              <w:t xml:space="preserve">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lastRenderedPageBreak/>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8A1D20">
            <w:pPr>
              <w:jc w:val="both"/>
              <w:rPr>
                <w:sz w:val="22"/>
                <w:szCs w:val="22"/>
              </w:rPr>
            </w:pPr>
            <w:r>
              <w:rPr>
                <w:sz w:val="22"/>
                <w:szCs w:val="22"/>
              </w:rPr>
              <w:t xml:space="preserve">- </w:t>
            </w:r>
            <w:r w:rsidR="00DD517E" w:rsidRPr="00DD517E">
              <w:rPr>
                <w:sz w:val="22"/>
                <w:szCs w:val="22"/>
              </w:rPr>
              <w:t xml:space="preserve">pagal </w:t>
            </w:r>
            <w:r w:rsidR="00F605A2" w:rsidRPr="00AA30D7">
              <w:t>VPS</w:t>
            </w:r>
            <w:r w:rsidR="00F605A2" w:rsidRPr="00760997">
              <w:rPr>
                <w:szCs w:val="24"/>
              </w:rPr>
              <w:t xml:space="preserve"> </w:t>
            </w:r>
            <w:r w:rsidR="00F605A2">
              <w:rPr>
                <w:szCs w:val="24"/>
              </w:rPr>
              <w:t>p</w:t>
            </w:r>
            <w:r w:rsidR="00F605A2" w:rsidRPr="00760997">
              <w:rPr>
                <w:szCs w:val="24"/>
              </w:rPr>
              <w:t>riemon</w:t>
            </w:r>
            <w:r w:rsidR="00F605A2">
              <w:rPr>
                <w:szCs w:val="24"/>
              </w:rPr>
              <w:t>ės</w:t>
            </w:r>
            <w:r w:rsidR="00F605A2" w:rsidRPr="00760997">
              <w:rPr>
                <w:szCs w:val="24"/>
              </w:rPr>
              <w:t xml:space="preserve"> </w:t>
            </w:r>
            <w:r w:rsidR="00F605A2" w:rsidRPr="00AA30D7">
              <w:t>„Bendruomeninių paslaugų kūrimas ir plė</w:t>
            </w:r>
            <w:r w:rsidR="00FA077B">
              <w:t>tra“ (kodas LEADER-19.2-SAVA-9</w:t>
            </w:r>
            <w:r w:rsidR="00C349A9" w:rsidRPr="00AA30D7">
              <w:t>)</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CB3AED">
              <w:rPr>
                <w:sz w:val="22"/>
                <w:szCs w:val="22"/>
              </w:rPr>
              <w:t xml:space="preserve">Alytaus rajono vietos veiklos grupės </w:t>
            </w:r>
            <w:r w:rsidR="00CB3AED" w:rsidRPr="00552340">
              <w:rPr>
                <w:sz w:val="22"/>
                <w:szCs w:val="22"/>
              </w:rPr>
              <w:t>valdybos</w:t>
            </w:r>
            <w:r w:rsidRPr="00552340">
              <w:rPr>
                <w:sz w:val="22"/>
                <w:szCs w:val="22"/>
              </w:rPr>
              <w:t xml:space="preserve"> </w:t>
            </w:r>
            <w:r w:rsidR="001F6A35" w:rsidRPr="00ED27AA">
              <w:rPr>
                <w:sz w:val="22"/>
                <w:szCs w:val="22"/>
              </w:rPr>
              <w:t>20</w:t>
            </w:r>
            <w:r w:rsidR="00741E18" w:rsidRPr="00ED27AA">
              <w:rPr>
                <w:sz w:val="22"/>
                <w:szCs w:val="22"/>
              </w:rPr>
              <w:t>2</w:t>
            </w:r>
            <w:r w:rsidR="00FA077B">
              <w:rPr>
                <w:sz w:val="22"/>
                <w:szCs w:val="22"/>
              </w:rPr>
              <w:t>2</w:t>
            </w:r>
            <w:r w:rsidR="001F6A35" w:rsidRPr="00ED27AA">
              <w:rPr>
                <w:sz w:val="22"/>
                <w:szCs w:val="22"/>
              </w:rPr>
              <w:t xml:space="preserve"> m. </w:t>
            </w:r>
            <w:r w:rsidR="008A1D20">
              <w:rPr>
                <w:sz w:val="22"/>
                <w:szCs w:val="22"/>
              </w:rPr>
              <w:t xml:space="preserve"> rugpjūčio 22</w:t>
            </w:r>
            <w:r w:rsidR="00C754C7">
              <w:rPr>
                <w:sz w:val="22"/>
                <w:szCs w:val="22"/>
              </w:rPr>
              <w:t xml:space="preserve"> </w:t>
            </w:r>
            <w:r w:rsidR="001F6A35" w:rsidRPr="00ED27AA">
              <w:rPr>
                <w:sz w:val="22"/>
                <w:szCs w:val="22"/>
              </w:rPr>
              <w:t xml:space="preserve">d. </w:t>
            </w:r>
            <w:r w:rsidR="00880556" w:rsidRPr="00ED27AA">
              <w:rPr>
                <w:sz w:val="22"/>
                <w:szCs w:val="22"/>
              </w:rPr>
              <w:t xml:space="preserve">rašytinio sprendimo </w:t>
            </w:r>
            <w:r w:rsidR="00B3051C" w:rsidRPr="00ED27AA">
              <w:rPr>
                <w:sz w:val="22"/>
                <w:szCs w:val="22"/>
              </w:rPr>
              <w:t xml:space="preserve"> priėmimo  </w:t>
            </w:r>
            <w:r w:rsidR="00880556" w:rsidRPr="00ED27AA">
              <w:rPr>
                <w:sz w:val="22"/>
                <w:szCs w:val="22"/>
              </w:rPr>
              <w:t xml:space="preserve">procedūros </w:t>
            </w:r>
            <w:r w:rsidR="001F6A35" w:rsidRPr="00ED27AA">
              <w:rPr>
                <w:sz w:val="22"/>
                <w:szCs w:val="22"/>
              </w:rPr>
              <w:t xml:space="preserve">protokolu </w:t>
            </w:r>
            <w:r w:rsidRPr="00ED27AA">
              <w:rPr>
                <w:sz w:val="22"/>
                <w:szCs w:val="22"/>
              </w:rPr>
              <w:t xml:space="preserve">Nr. </w:t>
            </w:r>
            <w:r w:rsidR="008A1D20">
              <w:rPr>
                <w:sz w:val="22"/>
                <w:szCs w:val="22"/>
              </w:rPr>
              <w:t>23</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 xml:space="preserve">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w:t>
            </w:r>
            <w:r>
              <w:rPr>
                <w:i/>
                <w:sz w:val="22"/>
                <w:szCs w:val="22"/>
              </w:rPr>
              <w:lastRenderedPageBreak/>
              <w:t>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lastRenderedPageBreak/>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lastRenderedPageBreak/>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FA077B" w:rsidRPr="00FA077B" w:rsidRDefault="00CF192F" w:rsidP="00406565">
            <w:pPr>
              <w:tabs>
                <w:tab w:val="left" w:pos="567"/>
              </w:tabs>
              <w:jc w:val="both"/>
              <w:rPr>
                <w:b/>
                <w:sz w:val="22"/>
                <w:szCs w:val="22"/>
              </w:rPr>
            </w:pPr>
            <w:r w:rsidRPr="00FA077B">
              <w:rPr>
                <w:b/>
                <w:sz w:val="22"/>
                <w:szCs w:val="22"/>
              </w:rPr>
              <w:t xml:space="preserve">Planuojamos išlaidos grindžiamos pagal Aprašą, skirtą VPS </w:t>
            </w:r>
            <w:proofErr w:type="spellStart"/>
            <w:r w:rsidRPr="00FA077B">
              <w:rPr>
                <w:b/>
                <w:sz w:val="22"/>
                <w:szCs w:val="22"/>
              </w:rPr>
              <w:t>priemonės</w:t>
            </w:r>
            <w:r w:rsidR="00FA077B" w:rsidRPr="00FA077B">
              <w:rPr>
                <w:b/>
              </w:rPr>
              <w:t>„Bendruomeninių</w:t>
            </w:r>
            <w:proofErr w:type="spellEnd"/>
            <w:r w:rsidR="00FA077B" w:rsidRPr="00FA077B">
              <w:rPr>
                <w:b/>
              </w:rPr>
              <w:t xml:space="preserve"> paslaugų kūrimas ir plėtra“ (kodas LEADER-19.2-SAVA-9)</w:t>
            </w:r>
            <w:r w:rsidR="00FA077B" w:rsidRPr="00FA077B">
              <w:rPr>
                <w:b/>
                <w:sz w:val="22"/>
                <w:szCs w:val="22"/>
              </w:rPr>
              <w:t xml:space="preserve">, patvirtintą Alytaus rajono vietos veiklos grupės valdybos 2022 m. </w:t>
            </w:r>
            <w:r w:rsidR="008A1D20">
              <w:rPr>
                <w:b/>
                <w:sz w:val="22"/>
                <w:szCs w:val="22"/>
              </w:rPr>
              <w:t xml:space="preserve">rugpjūčio </w:t>
            </w:r>
            <w:r w:rsidR="00C754C7">
              <w:rPr>
                <w:b/>
                <w:sz w:val="22"/>
                <w:szCs w:val="22"/>
              </w:rPr>
              <w:t>2</w:t>
            </w:r>
            <w:r w:rsidR="008A1D20">
              <w:rPr>
                <w:b/>
                <w:sz w:val="22"/>
                <w:szCs w:val="22"/>
              </w:rPr>
              <w:t>2</w:t>
            </w:r>
            <w:r w:rsidR="00FA077B" w:rsidRPr="00FA077B">
              <w:rPr>
                <w:b/>
                <w:sz w:val="22"/>
                <w:szCs w:val="22"/>
              </w:rPr>
              <w:t xml:space="preserve"> d. rašytinio sprendimo  priėmimo  procedūro</w:t>
            </w:r>
            <w:r w:rsidR="00453EE3">
              <w:rPr>
                <w:b/>
                <w:sz w:val="22"/>
                <w:szCs w:val="22"/>
              </w:rPr>
              <w:t>s protokolu Nr.</w:t>
            </w:r>
            <w:r w:rsidR="008A1D20">
              <w:rPr>
                <w:b/>
                <w:sz w:val="22"/>
                <w:szCs w:val="22"/>
              </w:rPr>
              <w:t>23</w:t>
            </w:r>
            <w:r w:rsidR="00453EE3">
              <w:rPr>
                <w:b/>
                <w:sz w:val="22"/>
                <w:szCs w:val="22"/>
              </w:rPr>
              <w:t>.</w:t>
            </w:r>
          </w:p>
          <w:p w:rsidR="00406565" w:rsidRDefault="00CF192F" w:rsidP="00406565">
            <w:pPr>
              <w:tabs>
                <w:tab w:val="left" w:pos="567"/>
              </w:tabs>
              <w:jc w:val="both"/>
              <w:rPr>
                <w:szCs w:val="24"/>
              </w:rPr>
            </w:pP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FA077B" w:rsidP="00337EB8">
            <w:pPr>
              <w:jc w:val="both"/>
              <w:rPr>
                <w:color w:val="000000"/>
                <w:szCs w:val="24"/>
              </w:rPr>
            </w:pPr>
            <w:r w:rsidRPr="00FA077B">
              <w:rPr>
                <w:rFonts w:eastAsia="Calibri"/>
              </w:rP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w:t>
            </w:r>
            <w:r w:rsidRPr="00FA077B">
              <w:rPr>
                <w:rFonts w:eastAsia="Calibri"/>
              </w:rPr>
              <w:lastRenderedPageBreak/>
              <w:t>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0C63F4">
            <w:pPr>
              <w:jc w:val="both"/>
              <w:rPr>
                <w:sz w:val="22"/>
                <w:szCs w:val="22"/>
              </w:rPr>
            </w:pPr>
            <w:r w:rsidRPr="00276501">
              <w:rPr>
                <w:sz w:val="22"/>
                <w:szCs w:val="22"/>
              </w:rPr>
              <w:t xml:space="preserve">Įgyvendinti projektą per nurodytą laikotarpį, kuris neviršija </w:t>
            </w:r>
            <w:r w:rsidR="000C63F4">
              <w:rPr>
                <w:sz w:val="22"/>
                <w:szCs w:val="22"/>
              </w:rPr>
              <w:t>36</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w:t>
            </w:r>
            <w:r w:rsidRPr="007B29A2">
              <w:rPr>
                <w:sz w:val="22"/>
                <w:szCs w:val="18"/>
              </w:rPr>
              <w:lastRenderedPageBreak/>
              <w:t>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FA077B" w:rsidP="007B29A2">
            <w:pPr>
              <w:jc w:val="both"/>
              <w:rPr>
                <w:i/>
                <w:sz w:val="22"/>
                <w:szCs w:val="18"/>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 xml:space="preserve">nuo paramos paraiškos pateikimo dienos iki projekto kontrolės laikotarpio pabaigos nenutraukti ar neperkelti gamybinės veiklos už Programos įgyvendinimo teritorijos ribų, nepakeisti infrastruktūros objekto ar jo dalies nuosavybės teisių, neparduoti ir kitaip neperleisti </w:t>
            </w:r>
            <w:r w:rsidRPr="007B29A2">
              <w:rPr>
                <w:color w:val="000000"/>
                <w:spacing w:val="4"/>
                <w:sz w:val="22"/>
                <w:szCs w:val="18"/>
              </w:rPr>
              <w:lastRenderedPageBreak/>
              <w:t>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w:t>
            </w:r>
            <w:r>
              <w:rPr>
                <w:sz w:val="22"/>
                <w:szCs w:val="22"/>
              </w:rPr>
              <w:lastRenderedPageBreak/>
              <w:t>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w:t>
            </w:r>
            <w:r>
              <w:rPr>
                <w:color w:val="000000"/>
                <w:sz w:val="22"/>
                <w:szCs w:val="22"/>
                <w:lang w:eastAsia="lt-LT"/>
              </w:rPr>
              <w:lastRenderedPageBreak/>
              <w:t>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9AB" w:rsidRDefault="00EA09AB">
      <w:pPr>
        <w:overflowPunct w:val="0"/>
        <w:jc w:val="both"/>
        <w:textAlignment w:val="baseline"/>
      </w:pPr>
      <w:r>
        <w:separator/>
      </w:r>
    </w:p>
  </w:endnote>
  <w:endnote w:type="continuationSeparator" w:id="0">
    <w:p w:rsidR="00EA09AB" w:rsidRDefault="00EA09AB">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00"/>
    <w:family w:val="roman"/>
    <w:pitch w:val="variable"/>
    <w:sig w:usb0="00000000" w:usb1="80000000" w:usb2="00000008"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9AB" w:rsidRDefault="00EA09AB">
      <w:pPr>
        <w:overflowPunct w:val="0"/>
        <w:jc w:val="both"/>
        <w:textAlignment w:val="baseline"/>
      </w:pPr>
      <w:r>
        <w:separator/>
      </w:r>
    </w:p>
  </w:footnote>
  <w:footnote w:type="continuationSeparator" w:id="0">
    <w:p w:rsidR="00EA09AB" w:rsidRDefault="00EA09AB">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6404B3">
    <w:pPr>
      <w:tabs>
        <w:tab w:val="center" w:pos="4153"/>
        <w:tab w:val="right" w:pos="8306"/>
      </w:tabs>
      <w:overflowPunct w:val="0"/>
      <w:jc w:val="center"/>
      <w:textAlignment w:val="baseline"/>
      <w:rPr>
        <w:lang w:val="en-GB"/>
      </w:rPr>
    </w:pPr>
    <w:r>
      <w:rPr>
        <w:lang w:val="en-GB"/>
      </w:rPr>
      <w:fldChar w:fldCharType="begin"/>
    </w:r>
    <w:r w:rsidR="00122B60">
      <w:rPr>
        <w:lang w:val="en-GB"/>
      </w:rPr>
      <w:instrText>PAGE   \* MERGEFORMAT</w:instrText>
    </w:r>
    <w:r>
      <w:rPr>
        <w:lang w:val="en-GB"/>
      </w:rPr>
      <w:fldChar w:fldCharType="separate"/>
    </w:r>
    <w:r w:rsidR="002F1D15" w:rsidRPr="002F1D15">
      <w:rPr>
        <w:noProof/>
      </w:rPr>
      <w:t>3</w:t>
    </w:r>
    <w:r>
      <w:rPr>
        <w:lang w:val="en-GB"/>
      </w:rPr>
      <w:fldChar w:fldCharType="end"/>
    </w:r>
  </w:p>
  <w:p w:rsidR="00122B60" w:rsidRDefault="00122B6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97282"/>
  </w:hdrShapeDefaults>
  <w:footnotePr>
    <w:footnote w:id="-1"/>
    <w:footnote w:id="0"/>
  </w:footnotePr>
  <w:endnotePr>
    <w:endnote w:id="-1"/>
    <w:endnote w:id="0"/>
  </w:endnotePr>
  <w:compat/>
  <w:rsids>
    <w:rsidRoot w:val="00BF1F90"/>
    <w:rsid w:val="00020EA5"/>
    <w:rsid w:val="000467EF"/>
    <w:rsid w:val="00050690"/>
    <w:rsid w:val="0005215A"/>
    <w:rsid w:val="00053028"/>
    <w:rsid w:val="00057FEF"/>
    <w:rsid w:val="00073895"/>
    <w:rsid w:val="000C5275"/>
    <w:rsid w:val="000C63F4"/>
    <w:rsid w:val="00102D02"/>
    <w:rsid w:val="00112E8B"/>
    <w:rsid w:val="00122B60"/>
    <w:rsid w:val="001A04AC"/>
    <w:rsid w:val="001E69C1"/>
    <w:rsid w:val="001F4DD2"/>
    <w:rsid w:val="001F6A35"/>
    <w:rsid w:val="00216F82"/>
    <w:rsid w:val="0021778B"/>
    <w:rsid w:val="0029003D"/>
    <w:rsid w:val="002D31BC"/>
    <w:rsid w:val="002D53CC"/>
    <w:rsid w:val="002E54C9"/>
    <w:rsid w:val="002F1D15"/>
    <w:rsid w:val="0031600C"/>
    <w:rsid w:val="003309FC"/>
    <w:rsid w:val="00337EB8"/>
    <w:rsid w:val="003535B5"/>
    <w:rsid w:val="0038040E"/>
    <w:rsid w:val="003A1BF9"/>
    <w:rsid w:val="003C228D"/>
    <w:rsid w:val="003D37C2"/>
    <w:rsid w:val="00406565"/>
    <w:rsid w:val="00416837"/>
    <w:rsid w:val="00416C81"/>
    <w:rsid w:val="004367AE"/>
    <w:rsid w:val="00453EE3"/>
    <w:rsid w:val="00460F34"/>
    <w:rsid w:val="00470BFB"/>
    <w:rsid w:val="004A1EEC"/>
    <w:rsid w:val="004B0488"/>
    <w:rsid w:val="004B19D5"/>
    <w:rsid w:val="004B31BE"/>
    <w:rsid w:val="004C0764"/>
    <w:rsid w:val="004F3D85"/>
    <w:rsid w:val="004F55C0"/>
    <w:rsid w:val="00526D44"/>
    <w:rsid w:val="00537E0E"/>
    <w:rsid w:val="00552340"/>
    <w:rsid w:val="0056424B"/>
    <w:rsid w:val="005B495E"/>
    <w:rsid w:val="005D3A52"/>
    <w:rsid w:val="00607AA1"/>
    <w:rsid w:val="0063783D"/>
    <w:rsid w:val="006404B3"/>
    <w:rsid w:val="00690193"/>
    <w:rsid w:val="006930AA"/>
    <w:rsid w:val="006A4E39"/>
    <w:rsid w:val="006C1DB5"/>
    <w:rsid w:val="006C7CA2"/>
    <w:rsid w:val="006E4E1F"/>
    <w:rsid w:val="00741E18"/>
    <w:rsid w:val="00746872"/>
    <w:rsid w:val="00793844"/>
    <w:rsid w:val="007B29A2"/>
    <w:rsid w:val="007F7E5A"/>
    <w:rsid w:val="00815896"/>
    <w:rsid w:val="00836882"/>
    <w:rsid w:val="008543B8"/>
    <w:rsid w:val="0087783E"/>
    <w:rsid w:val="00880556"/>
    <w:rsid w:val="0089121A"/>
    <w:rsid w:val="008A1D20"/>
    <w:rsid w:val="008F27D9"/>
    <w:rsid w:val="0090439E"/>
    <w:rsid w:val="00994C64"/>
    <w:rsid w:val="009C6B4B"/>
    <w:rsid w:val="009D0AE6"/>
    <w:rsid w:val="00A019C7"/>
    <w:rsid w:val="00AB159D"/>
    <w:rsid w:val="00AC12D5"/>
    <w:rsid w:val="00B02026"/>
    <w:rsid w:val="00B12DA2"/>
    <w:rsid w:val="00B17CEC"/>
    <w:rsid w:val="00B22B66"/>
    <w:rsid w:val="00B3051C"/>
    <w:rsid w:val="00B334D8"/>
    <w:rsid w:val="00B353E9"/>
    <w:rsid w:val="00B3707B"/>
    <w:rsid w:val="00B6624B"/>
    <w:rsid w:val="00BA441B"/>
    <w:rsid w:val="00BF1F90"/>
    <w:rsid w:val="00C0389F"/>
    <w:rsid w:val="00C312DA"/>
    <w:rsid w:val="00C349A9"/>
    <w:rsid w:val="00C62066"/>
    <w:rsid w:val="00C652A1"/>
    <w:rsid w:val="00C754C7"/>
    <w:rsid w:val="00CA4B8B"/>
    <w:rsid w:val="00CB3AED"/>
    <w:rsid w:val="00CB4EE3"/>
    <w:rsid w:val="00CC7D17"/>
    <w:rsid w:val="00CF192F"/>
    <w:rsid w:val="00D048CC"/>
    <w:rsid w:val="00D135CD"/>
    <w:rsid w:val="00D44FB8"/>
    <w:rsid w:val="00D4678C"/>
    <w:rsid w:val="00D9412F"/>
    <w:rsid w:val="00DD517E"/>
    <w:rsid w:val="00DE6CD1"/>
    <w:rsid w:val="00E77B8E"/>
    <w:rsid w:val="00E80239"/>
    <w:rsid w:val="00E80662"/>
    <w:rsid w:val="00EA09AB"/>
    <w:rsid w:val="00EC472B"/>
    <w:rsid w:val="00ED27AA"/>
    <w:rsid w:val="00F251F3"/>
    <w:rsid w:val="00F605A2"/>
    <w:rsid w:val="00F63FAB"/>
    <w:rsid w:val="00F77D25"/>
    <w:rsid w:val="00F96CD2"/>
    <w:rsid w:val="00FA077B"/>
    <w:rsid w:val="00FD2534"/>
    <w:rsid w:val="00FF46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 w:type="character" w:styleId="Hipersaitas">
    <w:name w:val="Hyperlink"/>
    <w:uiPriority w:val="99"/>
    <w:unhideWhenUsed/>
    <w:rsid w:val="00453EE3"/>
    <w:rPr>
      <w:color w:val="0000FF"/>
      <w:u w:val="single"/>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22552</Words>
  <Characters>12855</Characters>
  <Application>Microsoft Office Word</Application>
  <DocSecurity>0</DocSecurity>
  <Lines>107</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35337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2022-08-19T16:48:00Z</dcterms:modified>
</cp:coreProperties>
</file>