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D64" w:rsidRPr="00DD517E" w:rsidRDefault="00DD0D64" w:rsidP="00DD0D64">
      <w:pPr>
        <w:ind w:left="5103"/>
        <w:rPr>
          <w:sz w:val="22"/>
          <w:szCs w:val="22"/>
        </w:rPr>
      </w:pPr>
      <w:r w:rsidRPr="00DD517E">
        <w:rPr>
          <w:sz w:val="22"/>
          <w:szCs w:val="22"/>
        </w:rPr>
        <w:t>Vietos projektų finansavimo sąlygų aprašo  parengto pagal „Alytaus rajono ir Birštono savivaldybių kaimiškosios teritorijos</w:t>
      </w:r>
    </w:p>
    <w:p w:rsidR="00B66D39" w:rsidRPr="00AC12D5" w:rsidRDefault="00DD0D64" w:rsidP="00874EA7">
      <w:pPr>
        <w:ind w:left="5103"/>
        <w:rPr>
          <w:sz w:val="22"/>
          <w:szCs w:val="22"/>
        </w:rPr>
      </w:pPr>
      <w:r w:rsidRPr="00DD517E">
        <w:rPr>
          <w:sz w:val="22"/>
          <w:szCs w:val="22"/>
        </w:rPr>
        <w:t xml:space="preserve">inicijuotos vietos plėtros strategijos  2015-2020  metams“ </w:t>
      </w:r>
      <w:r w:rsidR="00B66D39">
        <w:rPr>
          <w:sz w:val="22"/>
          <w:szCs w:val="22"/>
        </w:rPr>
        <w:t xml:space="preserve">priemonę </w:t>
      </w:r>
      <w:r w:rsidR="00B66D39" w:rsidRPr="00AA30D7">
        <w:t xml:space="preserve">„Bendradarbiavimo, </w:t>
      </w:r>
      <w:proofErr w:type="spellStart"/>
      <w:r w:rsidR="00B66D39" w:rsidRPr="00AA30D7">
        <w:t>tinklaveikos</w:t>
      </w:r>
      <w:proofErr w:type="spellEnd"/>
      <w:r w:rsidR="00B66D39" w:rsidRPr="00AA30D7">
        <w:t xml:space="preserve"> skatinimas, plėtojant vietos iniciatyvas, diegiant inovacijas“ (kodas LEADER-19.2-SAVA-8)</w:t>
      </w:r>
      <w:r w:rsidR="00874EA7">
        <w:rPr>
          <w:sz w:val="22"/>
          <w:szCs w:val="22"/>
        </w:rPr>
        <w:t xml:space="preserve"> </w:t>
      </w:r>
      <w:r w:rsidR="00B66D39" w:rsidRPr="00AC12D5">
        <w:rPr>
          <w:sz w:val="22"/>
          <w:szCs w:val="22"/>
        </w:rPr>
        <w:t>Kvietim</w:t>
      </w:r>
      <w:r w:rsidR="00B66D39">
        <w:rPr>
          <w:sz w:val="22"/>
          <w:szCs w:val="22"/>
        </w:rPr>
        <w:t>as</w:t>
      </w:r>
      <w:r w:rsidR="00B66D39" w:rsidRPr="00AC12D5">
        <w:rPr>
          <w:sz w:val="22"/>
          <w:szCs w:val="22"/>
        </w:rPr>
        <w:t xml:space="preserve">  Nr.</w:t>
      </w:r>
      <w:r w:rsidR="00B66D39">
        <w:rPr>
          <w:sz w:val="22"/>
          <w:szCs w:val="22"/>
        </w:rPr>
        <w:t>25</w:t>
      </w:r>
    </w:p>
    <w:p w:rsidR="00874EA7" w:rsidRDefault="00874EA7" w:rsidP="00B66D39">
      <w:pPr>
        <w:ind w:left="5103"/>
        <w:rPr>
          <w:sz w:val="22"/>
          <w:szCs w:val="22"/>
        </w:rPr>
      </w:pP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Pr="00B66D39" w:rsidRDefault="007A5507" w:rsidP="007136E9">
            <w:pPr>
              <w:ind w:left="5"/>
              <w:jc w:val="center"/>
              <w:rPr>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 xml:space="preserve">strategijos  2015-2020  metams“ </w:t>
            </w:r>
            <w:r w:rsidR="00E25FE6" w:rsidRPr="007136E9">
              <w:rPr>
                <w:b/>
                <w:szCs w:val="24"/>
              </w:rPr>
              <w:t xml:space="preserve">priemonę </w:t>
            </w:r>
            <w:r w:rsidR="00B66D39" w:rsidRPr="007136E9">
              <w:rPr>
                <w:b/>
              </w:rPr>
              <w:t xml:space="preserve">„Bendradarbiavimo, </w:t>
            </w:r>
            <w:proofErr w:type="spellStart"/>
            <w:r w:rsidR="00B66D39" w:rsidRPr="007136E9">
              <w:rPr>
                <w:b/>
              </w:rPr>
              <w:t>tinklaveikos</w:t>
            </w:r>
            <w:proofErr w:type="spellEnd"/>
            <w:r w:rsidR="00B66D39" w:rsidRPr="007136E9">
              <w:rPr>
                <w:b/>
              </w:rPr>
              <w:t xml:space="preserve"> skatinimas, plėtojant vietos iniciatyvas, diegiant inovacijas“ (kodas LEADER-19.2-SAVA-8)</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w:t>
            </w:r>
            <w:r>
              <w:rPr>
                <w:i/>
                <w:sz w:val="22"/>
                <w:szCs w:val="22"/>
                <w:lang w:eastAsia="lt-LT"/>
              </w:rPr>
              <w:lastRenderedPageBreak/>
              <w:t xml:space="preserve">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Pareiškėjas – ūkio subjektas </w:t>
            </w:r>
            <w:r>
              <w:rPr>
                <w:sz w:val="22"/>
                <w:szCs w:val="22"/>
                <w:lang w:eastAsia="lt-LT"/>
              </w:rPr>
              <w:lastRenderedPageBreak/>
              <w:t>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lastRenderedPageBreak/>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lastRenderedPageBreak/>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lastRenderedPageBreak/>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valdymo 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lastRenderedPageBreak/>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69C" w:rsidRDefault="0071669C">
      <w:pPr>
        <w:overflowPunct w:val="0"/>
        <w:jc w:val="both"/>
        <w:textAlignment w:val="baseline"/>
      </w:pPr>
      <w:r>
        <w:separator/>
      </w:r>
    </w:p>
  </w:endnote>
  <w:endnote w:type="continuationSeparator" w:id="0">
    <w:p w:rsidR="0071669C" w:rsidRDefault="0071669C">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69C" w:rsidRDefault="0071669C">
      <w:pPr>
        <w:overflowPunct w:val="0"/>
        <w:jc w:val="both"/>
        <w:textAlignment w:val="baseline"/>
      </w:pPr>
      <w:r>
        <w:separator/>
      </w:r>
    </w:p>
  </w:footnote>
  <w:footnote w:type="continuationSeparator" w:id="0">
    <w:p w:rsidR="0071669C" w:rsidRDefault="0071669C">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E35F5C">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874EA7" w:rsidRPr="00874EA7">
      <w:rPr>
        <w:noProof/>
      </w:rPr>
      <w:t>15</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1506"/>
  </w:hdrShapeDefaults>
  <w:footnotePr>
    <w:footnote w:id="-1"/>
    <w:footnote w:id="0"/>
  </w:footnotePr>
  <w:endnotePr>
    <w:endnote w:id="-1"/>
    <w:endnote w:id="0"/>
  </w:endnotePr>
  <w:compat/>
  <w:rsids>
    <w:rsidRoot w:val="00BF1F90"/>
    <w:rsid w:val="000C14EB"/>
    <w:rsid w:val="00287647"/>
    <w:rsid w:val="00293EE9"/>
    <w:rsid w:val="002F2E4D"/>
    <w:rsid w:val="00432E91"/>
    <w:rsid w:val="00460F34"/>
    <w:rsid w:val="00461343"/>
    <w:rsid w:val="00473636"/>
    <w:rsid w:val="00561EE8"/>
    <w:rsid w:val="00591B4B"/>
    <w:rsid w:val="0062413D"/>
    <w:rsid w:val="0070744F"/>
    <w:rsid w:val="007136E9"/>
    <w:rsid w:val="0071669C"/>
    <w:rsid w:val="007A5507"/>
    <w:rsid w:val="00860AA8"/>
    <w:rsid w:val="00874EA7"/>
    <w:rsid w:val="008A0F97"/>
    <w:rsid w:val="008C3CD7"/>
    <w:rsid w:val="00912721"/>
    <w:rsid w:val="009C3C5A"/>
    <w:rsid w:val="00A24668"/>
    <w:rsid w:val="00B02588"/>
    <w:rsid w:val="00B12DA2"/>
    <w:rsid w:val="00B445F8"/>
    <w:rsid w:val="00B66D39"/>
    <w:rsid w:val="00BD0B10"/>
    <w:rsid w:val="00BF1F90"/>
    <w:rsid w:val="00BF604D"/>
    <w:rsid w:val="00C652A1"/>
    <w:rsid w:val="00D74679"/>
    <w:rsid w:val="00D818A1"/>
    <w:rsid w:val="00DD0D64"/>
    <w:rsid w:val="00DE4A68"/>
    <w:rsid w:val="00E25FE6"/>
    <w:rsid w:val="00E35F5C"/>
    <w:rsid w:val="00E743DD"/>
    <w:rsid w:val="00FC6D89"/>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19078</Words>
  <Characters>10875</Characters>
  <Application>Microsoft Office Word</Application>
  <DocSecurity>0</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29894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2020-10-28T18:09:00Z</dcterms:modified>
</cp:coreProperties>
</file>