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Pr="008F116D" w:rsidRDefault="007A5507" w:rsidP="007A5507">
      <w:pPr>
        <w:ind w:left="5103"/>
        <w:rPr>
          <w:sz w:val="22"/>
          <w:szCs w:val="22"/>
        </w:rPr>
      </w:pPr>
      <w:r w:rsidRPr="008F116D">
        <w:rPr>
          <w:sz w:val="22"/>
          <w:szCs w:val="22"/>
        </w:rPr>
        <w:t>Vietos projektų finansavimo sąlygų aprašo  parengto pagal „Alytaus rajono ir Birštono savivaldybių kaimiškosios teritorijos</w:t>
      </w:r>
    </w:p>
    <w:p w:rsidR="0062413D" w:rsidRPr="00AC12D5" w:rsidRDefault="007A5507" w:rsidP="007A5507">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sidR="00B621DF">
        <w:rPr>
          <w:sz w:val="22"/>
          <w:szCs w:val="22"/>
        </w:rPr>
        <w:t>30</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„Vietos turizmo skatinimas, dzūkų etninės kultūros puoselėjimas“ Nr. LEADER-19.2-SAVA-7</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lastRenderedPageBreak/>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bookmarkStart w:id="0" w:name="_GoBack" w:colFirst="0" w:colLast="0"/>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bookmarkEnd w:id="0"/>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proofErr w:type="spellStart"/>
            <w:r w:rsidRPr="007300F9">
              <w:rPr>
                <w:sz w:val="22"/>
                <w:szCs w:val="22"/>
                <w:lang w:eastAsia="lt-LT"/>
              </w:rPr>
              <w:t>Atidėjinių</w:t>
            </w:r>
            <w:proofErr w:type="spellEnd"/>
            <w:r w:rsidRPr="007300F9">
              <w:rPr>
                <w:sz w:val="22"/>
                <w:szCs w:val="22"/>
                <w:lang w:eastAsia="lt-LT"/>
              </w:rPr>
              <w:t xml:space="preserve">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lastRenderedPageBreak/>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6F" w:rsidRDefault="00F94D6F">
      <w:pPr>
        <w:overflowPunct w:val="0"/>
        <w:jc w:val="both"/>
        <w:textAlignment w:val="baseline"/>
      </w:pPr>
      <w:r>
        <w:separator/>
      </w:r>
    </w:p>
  </w:endnote>
  <w:endnote w:type="continuationSeparator" w:id="0">
    <w:p w:rsidR="00F94D6F" w:rsidRDefault="00F94D6F">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6F" w:rsidRDefault="00F94D6F">
      <w:pPr>
        <w:overflowPunct w:val="0"/>
        <w:jc w:val="both"/>
        <w:textAlignment w:val="baseline"/>
      </w:pPr>
      <w:r>
        <w:separator/>
      </w:r>
    </w:p>
  </w:footnote>
  <w:footnote w:type="continuationSeparator" w:id="0">
    <w:p w:rsidR="00F94D6F" w:rsidRDefault="00F94D6F">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0053E5">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B621DF" w:rsidRPr="00B621DF">
      <w:rPr>
        <w:noProof/>
      </w:rPr>
      <w:t>15</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2"/>
  </w:hdrShapeDefaults>
  <w:footnotePr>
    <w:footnote w:id="-1"/>
    <w:footnote w:id="0"/>
  </w:footnotePr>
  <w:endnotePr>
    <w:endnote w:id="-1"/>
    <w:endnote w:id="0"/>
  </w:endnotePr>
  <w:compat/>
  <w:rsids>
    <w:rsidRoot w:val="00BF1F90"/>
    <w:rsid w:val="000053E5"/>
    <w:rsid w:val="00293EE9"/>
    <w:rsid w:val="00460F34"/>
    <w:rsid w:val="0062413D"/>
    <w:rsid w:val="007A5507"/>
    <w:rsid w:val="008C3CD7"/>
    <w:rsid w:val="009C3C5A"/>
    <w:rsid w:val="00A24668"/>
    <w:rsid w:val="00B12DA2"/>
    <w:rsid w:val="00B621DF"/>
    <w:rsid w:val="00BD0B10"/>
    <w:rsid w:val="00BF1F90"/>
    <w:rsid w:val="00C652A1"/>
    <w:rsid w:val="00D818A1"/>
    <w:rsid w:val="00DE4A68"/>
    <w:rsid w:val="00F94D6F"/>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0053E5"/>
  </w:style>
  <w:style w:type="paragraph" w:styleId="Antrat1">
    <w:name w:val="heading 1"/>
    <w:basedOn w:val="prastasis"/>
    <w:next w:val="prastasis"/>
    <w:link w:val="Antrat1Diagrama"/>
    <w:qFormat/>
    <w:rsid w:val="000053E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053E5"/>
    <w:rPr>
      <w:rFonts w:ascii="Calibri Light" w:hAnsi="Calibri Light"/>
      <w:b/>
      <w:bCs/>
      <w:kern w:val="32"/>
      <w:sz w:val="32"/>
      <w:szCs w:val="32"/>
      <w:lang w:eastAsia="lt-LT"/>
    </w:rPr>
  </w:style>
  <w:style w:type="character" w:styleId="Vietosrezervavimoenklotekstas">
    <w:name w:val="Placeholder Text"/>
    <w:basedOn w:val="Numatytasispastraiposriftas"/>
    <w:rsid w:val="000053E5"/>
    <w:rPr>
      <w:color w:val="808080"/>
    </w:rPr>
  </w:style>
  <w:style w:type="paragraph" w:styleId="Debesliotekstas">
    <w:name w:val="Balloon Text"/>
    <w:basedOn w:val="prastasis"/>
    <w:link w:val="DebesliotekstasDiagrama"/>
    <w:rsid w:val="000053E5"/>
    <w:rPr>
      <w:rFonts w:ascii="Tahoma" w:hAnsi="Tahoma" w:cs="Tahoma"/>
      <w:sz w:val="16"/>
      <w:szCs w:val="16"/>
    </w:rPr>
  </w:style>
  <w:style w:type="character" w:customStyle="1" w:styleId="DebesliotekstasDiagrama">
    <w:name w:val="Debesėlio tekstas Diagrama"/>
    <w:basedOn w:val="Numatytasispastraiposriftas"/>
    <w:link w:val="Debesliotekstas"/>
    <w:rsid w:val="000053E5"/>
    <w:rPr>
      <w:rFonts w:ascii="Tahoma" w:hAnsi="Tahoma" w:cs="Tahoma"/>
      <w:sz w:val="16"/>
      <w:szCs w:val="16"/>
    </w:rPr>
  </w:style>
  <w:style w:type="character" w:styleId="Grietas">
    <w:name w:val="Strong"/>
    <w:qFormat/>
    <w:rsid w:val="000053E5"/>
    <w:rPr>
      <w:rFonts w:ascii="Times New Roman" w:hAnsi="Times New Roman" w:cs="Times New Roman" w:hint="default"/>
      <w:b/>
      <w:bCs/>
    </w:rPr>
  </w:style>
  <w:style w:type="paragraph" w:styleId="prastasistinklapis">
    <w:name w:val="Normal (Web)"/>
    <w:basedOn w:val="prastasis"/>
    <w:unhideWhenUsed/>
    <w:rsid w:val="000053E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053E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053E5"/>
    <w:rPr>
      <w:rFonts w:ascii="Calibri" w:eastAsia="Calibri" w:hAnsi="Calibri" w:cstheme="minorBidi"/>
      <w:sz w:val="22"/>
      <w:szCs w:val="22"/>
    </w:rPr>
  </w:style>
  <w:style w:type="paragraph" w:styleId="Komentarotekstas">
    <w:name w:val="annotation text"/>
    <w:basedOn w:val="prastasis"/>
    <w:link w:val="KomentarotekstasDiagrama"/>
    <w:unhideWhenUsed/>
    <w:rsid w:val="000053E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053E5"/>
    <w:rPr>
      <w:rFonts w:ascii="Calibri" w:eastAsia="Calibri" w:hAnsi="Calibri" w:cstheme="minorBidi"/>
      <w:sz w:val="22"/>
      <w:szCs w:val="22"/>
    </w:rPr>
  </w:style>
  <w:style w:type="paragraph" w:styleId="Antrats">
    <w:name w:val="header"/>
    <w:basedOn w:val="prastasis"/>
    <w:link w:val="AntratsDiagrama"/>
    <w:unhideWhenUsed/>
    <w:rsid w:val="000053E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0053E5"/>
    <w:rPr>
      <w:rFonts w:ascii="Arial" w:hAnsi="Arial" w:cs="Arial"/>
      <w:sz w:val="20"/>
      <w:lang w:eastAsia="lt-LT"/>
    </w:rPr>
  </w:style>
  <w:style w:type="paragraph" w:styleId="Porat">
    <w:name w:val="footer"/>
    <w:basedOn w:val="prastasis"/>
    <w:link w:val="PoratDiagrama"/>
    <w:uiPriority w:val="99"/>
    <w:unhideWhenUsed/>
    <w:rsid w:val="000053E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053E5"/>
    <w:rPr>
      <w:rFonts w:ascii="Arial" w:hAnsi="Arial" w:cs="Arial"/>
      <w:sz w:val="20"/>
      <w:lang w:eastAsia="lt-LT"/>
    </w:rPr>
  </w:style>
  <w:style w:type="paragraph" w:styleId="Pagrindinistekstas">
    <w:name w:val="Body Text"/>
    <w:basedOn w:val="prastasis"/>
    <w:link w:val="PagrindinistekstasDiagrama"/>
    <w:unhideWhenUsed/>
    <w:rsid w:val="000053E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053E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0053E5"/>
    <w:rPr>
      <w:b/>
      <w:bCs/>
    </w:rPr>
  </w:style>
  <w:style w:type="character" w:customStyle="1" w:styleId="KomentarotemaDiagrama">
    <w:name w:val="Komentaro tema Diagrama"/>
    <w:basedOn w:val="KomentarotekstasDiagrama"/>
    <w:link w:val="Komentarotema"/>
    <w:rsid w:val="000053E5"/>
    <w:rPr>
      <w:rFonts w:ascii="Calibri" w:eastAsia="Calibri" w:hAnsi="Calibri" w:cstheme="minorBidi"/>
      <w:b/>
      <w:bCs/>
      <w:sz w:val="22"/>
      <w:szCs w:val="22"/>
    </w:rPr>
  </w:style>
  <w:style w:type="paragraph" w:customStyle="1" w:styleId="ListParagraph1">
    <w:name w:val="List Paragraph1"/>
    <w:basedOn w:val="prastasis"/>
    <w:semiHidden/>
    <w:rsid w:val="000053E5"/>
    <w:pPr>
      <w:ind w:left="720"/>
      <w:contextualSpacing/>
    </w:pPr>
    <w:rPr>
      <w:rFonts w:eastAsia="Calibri"/>
    </w:rPr>
  </w:style>
  <w:style w:type="paragraph" w:customStyle="1" w:styleId="msonormalcxspmiddle">
    <w:name w:val="msonormalcxspmiddle"/>
    <w:basedOn w:val="prastasis"/>
    <w:semiHidden/>
    <w:rsid w:val="000053E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053E5"/>
    <w:pPr>
      <w:spacing w:after="150"/>
    </w:pPr>
    <w:rPr>
      <w:szCs w:val="24"/>
      <w:lang w:eastAsia="lt-LT"/>
    </w:rPr>
  </w:style>
  <w:style w:type="character" w:styleId="Puslapioinaosnuoroda">
    <w:name w:val="footnote reference"/>
    <w:unhideWhenUsed/>
    <w:rsid w:val="000053E5"/>
    <w:rPr>
      <w:rFonts w:ascii="Times New Roman" w:hAnsi="Times New Roman" w:cs="Times New Roman" w:hint="default"/>
      <w:vertAlign w:val="superscript"/>
    </w:rPr>
  </w:style>
  <w:style w:type="character" w:styleId="Komentaronuoroda">
    <w:name w:val="annotation reference"/>
    <w:unhideWhenUsed/>
    <w:rsid w:val="000053E5"/>
    <w:rPr>
      <w:rFonts w:ascii="Times New Roman" w:hAnsi="Times New Roman" w:cs="Times New Roman" w:hint="default"/>
      <w:sz w:val="16"/>
      <w:szCs w:val="16"/>
    </w:rPr>
  </w:style>
  <w:style w:type="character" w:customStyle="1" w:styleId="PlaceholderText1">
    <w:name w:val="Placeholder Text1"/>
    <w:rsid w:val="000053E5"/>
    <w:rPr>
      <w:color w:val="808080"/>
    </w:rPr>
  </w:style>
  <w:style w:type="character" w:customStyle="1" w:styleId="PuslapioinaostekstasDiagrama1">
    <w:name w:val="Puslapio išnašo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053E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053E5"/>
    <w:rPr>
      <w:rFonts w:ascii="Arial" w:eastAsia="Times New Roman" w:hAnsi="Arial" w:cs="Arial" w:hint="default"/>
      <w:b/>
      <w:bCs/>
      <w:sz w:val="20"/>
      <w:szCs w:val="20"/>
      <w:lang w:val="lt-LT" w:eastAsia="lt-LT"/>
    </w:rPr>
  </w:style>
  <w:style w:type="character" w:customStyle="1" w:styleId="BalloonTextChar">
    <w:name w:val="Balloon Text Char"/>
    <w:semiHidden/>
    <w:locked/>
    <w:rsid w:val="000053E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053E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053E5"/>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19728</Words>
  <Characters>11246</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30913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2021-08-05T17:06:00Z</dcterms:modified>
</cp:coreProperties>
</file>