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F8" w:rsidRPr="00AC12D5" w:rsidRDefault="00B445F8" w:rsidP="00B445F8">
      <w:pPr>
        <w:ind w:left="5103"/>
        <w:rPr>
          <w:sz w:val="22"/>
          <w:szCs w:val="22"/>
        </w:rPr>
      </w:pPr>
      <w:r w:rsidRPr="00AC12D5">
        <w:rPr>
          <w:sz w:val="22"/>
          <w:szCs w:val="22"/>
        </w:rPr>
        <w:t>Vietos projektų finansavimo sąlygų aprašo  parengto pagal „Alytaus rajono ir Birštono savivaldybių kaimiškosios teritorijos</w:t>
      </w:r>
    </w:p>
    <w:p w:rsidR="00B445F8" w:rsidRDefault="00B445F8" w:rsidP="00B445F8">
      <w:pPr>
        <w:ind w:left="5103"/>
        <w:rPr>
          <w:sz w:val="22"/>
          <w:szCs w:val="22"/>
        </w:rPr>
      </w:pPr>
      <w:r w:rsidRPr="00AC12D5">
        <w:rPr>
          <w:sz w:val="22"/>
          <w:szCs w:val="22"/>
        </w:rPr>
        <w:t>inicijuotos vietos plėtros strategijos  2015-2020  metams“ priemonės „</w:t>
      </w:r>
      <w:r w:rsidRPr="00CC7D17">
        <w:rPr>
          <w:sz w:val="22"/>
          <w:szCs w:val="22"/>
        </w:rPr>
        <w:t xml:space="preserve">Inovatyvaus socialinio verslo ir bendruomeninių </w:t>
      </w:r>
      <w:r>
        <w:rPr>
          <w:sz w:val="22"/>
          <w:szCs w:val="22"/>
        </w:rPr>
        <w:t>p</w:t>
      </w:r>
      <w:r w:rsidRPr="00CC7D17">
        <w:rPr>
          <w:sz w:val="22"/>
          <w:szCs w:val="22"/>
        </w:rPr>
        <w:t>aslaugų kūrimas ir plėtra</w:t>
      </w:r>
      <w:r w:rsidRPr="00AC12D5">
        <w:rPr>
          <w:sz w:val="22"/>
          <w:szCs w:val="22"/>
        </w:rPr>
        <w:t>“ veiklos sritį „</w:t>
      </w:r>
      <w:r w:rsidRPr="00CC7D17">
        <w:rPr>
          <w:sz w:val="22"/>
          <w:szCs w:val="22"/>
        </w:rPr>
        <w:t>Inovatyvaus socialinio verslo kūrimas ir plėtra</w:t>
      </w:r>
      <w:r w:rsidRPr="00AC12D5">
        <w:rPr>
          <w:sz w:val="22"/>
          <w:szCs w:val="22"/>
        </w:rPr>
        <w:t>“</w:t>
      </w:r>
      <w:r>
        <w:rPr>
          <w:sz w:val="22"/>
          <w:szCs w:val="22"/>
        </w:rPr>
        <w:t xml:space="preserve"> (kodas </w:t>
      </w:r>
      <w:r w:rsidRPr="00CC7D17">
        <w:rPr>
          <w:sz w:val="22"/>
          <w:szCs w:val="22"/>
        </w:rPr>
        <w:t>LEADER-19.2-SAVA-9.1</w:t>
      </w:r>
      <w:r w:rsidRPr="00AC12D5">
        <w:rPr>
          <w:sz w:val="22"/>
          <w:szCs w:val="22"/>
        </w:rPr>
        <w:t xml:space="preserve"> </w:t>
      </w:r>
      <w:r>
        <w:rPr>
          <w:sz w:val="22"/>
          <w:szCs w:val="22"/>
        </w:rPr>
        <w:t>)</w:t>
      </w:r>
    </w:p>
    <w:p w:rsidR="00B445F8" w:rsidRPr="00AC12D5" w:rsidRDefault="00B445F8" w:rsidP="00B445F8">
      <w:pPr>
        <w:ind w:left="5103"/>
        <w:rPr>
          <w:sz w:val="22"/>
          <w:szCs w:val="22"/>
        </w:rPr>
      </w:pPr>
      <w:r w:rsidRPr="00AC12D5">
        <w:rPr>
          <w:sz w:val="22"/>
          <w:szCs w:val="22"/>
        </w:rPr>
        <w:t>Kvietim</w:t>
      </w:r>
      <w:r>
        <w:rPr>
          <w:sz w:val="22"/>
          <w:szCs w:val="22"/>
        </w:rPr>
        <w:t>as</w:t>
      </w:r>
      <w:r w:rsidRPr="00AC12D5">
        <w:rPr>
          <w:sz w:val="22"/>
          <w:szCs w:val="22"/>
        </w:rPr>
        <w:t xml:space="preserve">  Nr.</w:t>
      </w:r>
      <w:r>
        <w:rPr>
          <w:sz w:val="22"/>
          <w:szCs w:val="22"/>
        </w:rPr>
        <w:t>24</w:t>
      </w:r>
    </w:p>
    <w:p w:rsidR="0062413D" w:rsidRDefault="008A0F97" w:rsidP="0062413D">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7A5507">
            <w:pPr>
              <w:tabs>
                <w:tab w:val="left" w:pos="3555"/>
              </w:tabs>
              <w:jc w:val="center"/>
              <w:rPr>
                <w:rFonts w:eastAsia="Calibri"/>
                <w:i/>
                <w:sz w:val="22"/>
                <w:szCs w:val="22"/>
              </w:rPr>
            </w:pPr>
            <w:r w:rsidRPr="00BC1695">
              <w:rPr>
                <w:b/>
                <w:szCs w:val="24"/>
                <w:lang w:eastAsia="lt-LT"/>
              </w:rPr>
              <w:t xml:space="preserve">Teikiamas pagal </w:t>
            </w:r>
            <w:r w:rsidRPr="00BC1695">
              <w:rPr>
                <w:b/>
                <w:szCs w:val="24"/>
              </w:rPr>
              <w:t>„Alytaus rajono ir Birštono savivaldybių kaimiškosios teritorijos inicijuotos vietos plėtros</w:t>
            </w:r>
            <w:r w:rsidRPr="00BC1695">
              <w:rPr>
                <w:rFonts w:eastAsia="Calibri"/>
                <w:b/>
                <w:szCs w:val="24"/>
              </w:rPr>
              <w:t xml:space="preserve"> </w:t>
            </w:r>
            <w:r w:rsidRPr="00BC1695">
              <w:rPr>
                <w:b/>
                <w:szCs w:val="24"/>
              </w:rPr>
              <w:t>strategijos  2015-2020  metams“ priemonę „</w:t>
            </w:r>
            <w:r w:rsidR="00473636" w:rsidRPr="00473636">
              <w:rPr>
                <w:b/>
                <w:szCs w:val="24"/>
              </w:rPr>
              <w:t>Inovatyvaus socialinio verslo ir bendruomeninių paslaugų kūrimas ir plėtra</w:t>
            </w:r>
            <w:r w:rsidRPr="00BC1695">
              <w:rPr>
                <w:b/>
                <w:szCs w:val="24"/>
              </w:rPr>
              <w:t xml:space="preserve">“ Nr. </w:t>
            </w:r>
            <w:r w:rsidR="00473636" w:rsidRPr="00473636">
              <w:rPr>
                <w:b/>
                <w:szCs w:val="24"/>
              </w:rPr>
              <w:t>LEADER-19.2-SAVA-9</w:t>
            </w:r>
            <w:r w:rsidR="002F2E4D">
              <w:rPr>
                <w:b/>
                <w:szCs w:val="24"/>
              </w:rPr>
              <w:t>.1.</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w:t>
            </w:r>
            <w:r>
              <w:rPr>
                <w:i/>
                <w:sz w:val="22"/>
                <w:szCs w:val="22"/>
                <w:lang w:eastAsia="lt-LT"/>
              </w:rPr>
              <w:lastRenderedPageBreak/>
              <w:t xml:space="preserve">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Pareiškėjas – ūkio subjektas </w:t>
            </w:r>
            <w:r>
              <w:rPr>
                <w:sz w:val="22"/>
                <w:szCs w:val="22"/>
                <w:lang w:eastAsia="lt-LT"/>
              </w:rPr>
              <w:lastRenderedPageBreak/>
              <w:t>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lastRenderedPageBreak/>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lastRenderedPageBreak/>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lastRenderedPageBreak/>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lastRenderedPageBreak/>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tabs>
                <w:tab w:val="left" w:pos="3555"/>
              </w:tabs>
              <w:jc w:val="center"/>
              <w:rPr>
                <w:b/>
                <w:lang w:eastAsia="lt-LT"/>
              </w:rPr>
            </w:pPr>
            <w:r>
              <w:rPr>
                <w:b/>
                <w:lang w:eastAsia="lt-LT"/>
              </w:rPr>
              <w:t>7.3.</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rsidP="00BD0B10">
            <w:pPr>
              <w:rPr>
                <w:b/>
                <w:bCs/>
                <w:lang w:eastAsia="lt-LT"/>
              </w:rPr>
            </w:pPr>
            <w:r>
              <w:rPr>
                <w:b/>
                <w:bCs/>
                <w:lang w:eastAsia="lt-LT"/>
              </w:rPr>
              <w:t>Paskolų padengimo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73636" w:rsidRDefault="00473636" w:rsidP="00473636">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7"/>
        <w:gridCol w:w="44"/>
        <w:gridCol w:w="2289"/>
        <w:gridCol w:w="2639"/>
        <w:gridCol w:w="3826"/>
      </w:tblGrid>
      <w:tr w:rsidR="00473636" w:rsidTr="0076330B">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8.</w:t>
            </w:r>
          </w:p>
        </w:tc>
        <w:tc>
          <w:tcPr>
            <w:tcW w:w="8793" w:type="dxa"/>
            <w:gridSpan w:val="4"/>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 xml:space="preserve">SOCIALINIO VERSLO SOCIALINIO POVEIKIO MATAVIMO RODIKLIŲ APIBŪDINIMAS </w:t>
            </w:r>
          </w:p>
          <w:p w:rsidR="00473636" w:rsidRDefault="00473636" w:rsidP="0076330B">
            <w:pPr>
              <w:tabs>
                <w:tab w:val="left" w:pos="3555"/>
              </w:tabs>
              <w:jc w:val="both"/>
              <w:rPr>
                <w:i/>
                <w:sz w:val="22"/>
                <w:szCs w:val="22"/>
                <w:lang w:eastAsia="lt-LT"/>
              </w:rPr>
            </w:pPr>
            <w:r>
              <w:rPr>
                <w:i/>
                <w:sz w:val="22"/>
                <w:szCs w:val="22"/>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473636" w:rsidRDefault="00473636" w:rsidP="0076330B">
            <w:pPr>
              <w:tabs>
                <w:tab w:val="left" w:pos="3555"/>
              </w:tabs>
              <w:jc w:val="both"/>
              <w:rPr>
                <w:i/>
                <w:sz w:val="22"/>
                <w:szCs w:val="22"/>
                <w:lang w:eastAsia="lt-LT"/>
              </w:rPr>
            </w:pPr>
            <w:r>
              <w:rPr>
                <w:i/>
                <w:sz w:val="22"/>
                <w:szCs w:val="22"/>
                <w:lang w:eastAsia="lt-LT"/>
              </w:rPr>
              <w:t xml:space="preserve">II lentelės stulpelyje rodikliui suteikiamas pavadinimas pagal Socialinio poveikio matavimo skaičiuoklę individualiai, pagal numatomo vykdyti socialinio verslo misiją, tikslinę grupę, veiklos sritį. </w:t>
            </w:r>
          </w:p>
          <w:p w:rsidR="00473636" w:rsidRDefault="00473636" w:rsidP="0076330B">
            <w:pPr>
              <w:tabs>
                <w:tab w:val="left" w:pos="3555"/>
              </w:tabs>
              <w:jc w:val="both"/>
              <w:rPr>
                <w:i/>
                <w:sz w:val="22"/>
                <w:szCs w:val="22"/>
                <w:lang w:eastAsia="lt-LT"/>
              </w:rPr>
            </w:pPr>
            <w:r>
              <w:rPr>
                <w:i/>
                <w:sz w:val="22"/>
                <w:szCs w:val="22"/>
                <w:lang w:eastAsia="lt-LT"/>
              </w:rPr>
              <w:t>III lentelės stulpelyje nurodoma rodiklio skaitinė reikšmė, gaunama užpildžius Socialinio poveikio matavimo skaičiuoklės rodiklius.</w:t>
            </w:r>
          </w:p>
          <w:p w:rsidR="00473636" w:rsidRDefault="00473636" w:rsidP="0076330B">
            <w:pPr>
              <w:tabs>
                <w:tab w:val="left" w:pos="3555"/>
              </w:tabs>
              <w:jc w:val="both"/>
              <w:rPr>
                <w:rFonts w:eastAsia="Calibri"/>
                <w:i/>
                <w:sz w:val="22"/>
                <w:szCs w:val="22"/>
              </w:rPr>
            </w:pPr>
            <w:r>
              <w:rPr>
                <w:i/>
                <w:sz w:val="22"/>
                <w:szCs w:val="22"/>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473636" w:rsidTr="0076330B">
        <w:tc>
          <w:tcPr>
            <w:tcW w:w="846"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w:t>
            </w:r>
          </w:p>
        </w:tc>
        <w:tc>
          <w:tcPr>
            <w:tcW w:w="4969" w:type="dxa"/>
            <w:gridSpan w:val="3"/>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II</w:t>
            </w:r>
          </w:p>
        </w:tc>
        <w:tc>
          <w:tcPr>
            <w:tcW w:w="3824"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III</w:t>
            </w:r>
          </w:p>
        </w:tc>
      </w:tr>
      <w:tr w:rsidR="00473636" w:rsidTr="0076330B">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496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Pagrindinio rodiklio pavadinimas</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Pagrindinio rodiklio skaitinė reikšmė (nurodomas mato vnt.)</w:t>
            </w: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lastRenderedPageBreak/>
              <w:t>8.1.</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both"/>
              <w:rPr>
                <w:rFonts w:eastAsia="Calibri"/>
                <w:i/>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both"/>
              <w:rPr>
                <w:rFonts w:eastAsia="Calibri"/>
                <w:i/>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8.2.</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8.3.</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46" w:type="dxa"/>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w:t>
            </w:r>
          </w:p>
        </w:tc>
        <w:tc>
          <w:tcPr>
            <w:tcW w:w="4969" w:type="dxa"/>
            <w:gridSpan w:val="3"/>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9639" w:type="dxa"/>
            <w:gridSpan w:val="5"/>
            <w:tcBorders>
              <w:top w:val="single" w:sz="4" w:space="0" w:color="auto"/>
              <w:left w:val="single" w:sz="4" w:space="0" w:color="auto"/>
              <w:bottom w:val="single" w:sz="4" w:space="0" w:color="auto"/>
              <w:right w:val="single" w:sz="4" w:space="0" w:color="auto"/>
            </w:tcBorders>
            <w:hideMark/>
          </w:tcPr>
          <w:p w:rsidR="00473636" w:rsidRDefault="00473636" w:rsidP="0076330B">
            <w:pPr>
              <w:tabs>
                <w:tab w:val="left" w:pos="3555"/>
              </w:tabs>
              <w:jc w:val="center"/>
              <w:rPr>
                <w:rFonts w:eastAsia="Calibri"/>
                <w:b/>
                <w:sz w:val="22"/>
                <w:szCs w:val="22"/>
              </w:rPr>
            </w:pPr>
            <w:r>
              <w:rPr>
                <w:b/>
                <w:sz w:val="22"/>
                <w:szCs w:val="22"/>
                <w:lang w:eastAsia="lt-LT"/>
              </w:rPr>
              <w:t>IV</w:t>
            </w:r>
          </w:p>
        </w:tc>
      </w:tr>
      <w:tr w:rsidR="00473636" w:rsidTr="0076330B">
        <w:tc>
          <w:tcPr>
            <w:tcW w:w="9639" w:type="dxa"/>
            <w:gridSpan w:val="5"/>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rPr>
                <w:rFonts w:eastAsia="Calibri"/>
                <w:b/>
                <w:sz w:val="22"/>
                <w:szCs w:val="22"/>
              </w:rPr>
            </w:pPr>
            <w:r>
              <w:rPr>
                <w:b/>
                <w:sz w:val="22"/>
                <w:szCs w:val="22"/>
                <w:lang w:eastAsia="lt-LT"/>
              </w:rPr>
              <w:t>Galimi papildomi socialinio poveikio rodikliai (kokybiniai efektai)</w:t>
            </w:r>
          </w:p>
          <w:p w:rsidR="00473636" w:rsidRDefault="00473636" w:rsidP="0076330B">
            <w:pPr>
              <w:tabs>
                <w:tab w:val="left" w:pos="3555"/>
              </w:tabs>
              <w:jc w:val="both"/>
              <w:rPr>
                <w:rFonts w:eastAsia="Calibri"/>
                <w:b/>
                <w:sz w:val="22"/>
                <w:szCs w:val="22"/>
              </w:rPr>
            </w:pPr>
            <w:r>
              <w:rPr>
                <w:i/>
                <w:sz w:val="22"/>
                <w:szCs w:val="22"/>
                <w:lang w:eastAsia="lt-LT"/>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2288"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Papildomo rodiklio pavadinimas</w:t>
            </w:r>
          </w:p>
        </w:tc>
        <w:tc>
          <w:tcPr>
            <w:tcW w:w="2637"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 xml:space="preserve">Pradinės situacijos (status quo) apibūdinimas </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473636" w:rsidRDefault="00473636" w:rsidP="0076330B">
            <w:pPr>
              <w:tabs>
                <w:tab w:val="left" w:pos="3555"/>
              </w:tabs>
              <w:jc w:val="center"/>
              <w:rPr>
                <w:rFonts w:eastAsia="Calibri"/>
                <w:b/>
                <w:sz w:val="22"/>
                <w:szCs w:val="22"/>
              </w:rPr>
            </w:pPr>
            <w:r>
              <w:rPr>
                <w:b/>
                <w:sz w:val="22"/>
                <w:szCs w:val="22"/>
                <w:lang w:eastAsia="lt-LT"/>
              </w:rPr>
              <w:t>Papildomo rodiklio matavimo būdas</w:t>
            </w: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1.</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2.</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3.</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r w:rsidR="00473636" w:rsidTr="0076330B">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tabs>
                <w:tab w:val="left" w:pos="3555"/>
              </w:tabs>
              <w:jc w:val="center"/>
              <w:rPr>
                <w:rFonts w:eastAsia="Calibri"/>
                <w:b/>
                <w:sz w:val="22"/>
                <w:szCs w:val="22"/>
              </w:rPr>
            </w:pPr>
            <w:r>
              <w:rPr>
                <w:b/>
                <w:sz w:val="22"/>
                <w:szCs w:val="22"/>
                <w:lang w:eastAsia="lt-LT"/>
              </w:rPr>
              <w:t>...</w:t>
            </w:r>
          </w:p>
        </w:tc>
        <w:tc>
          <w:tcPr>
            <w:tcW w:w="2288"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473636" w:rsidRDefault="00473636" w:rsidP="0076330B">
            <w:pPr>
              <w:tabs>
                <w:tab w:val="left" w:pos="3555"/>
              </w:tabs>
              <w:jc w:val="center"/>
              <w:rPr>
                <w:rFonts w:eastAsia="Calibri"/>
                <w:b/>
                <w:sz w:val="22"/>
                <w:szCs w:val="22"/>
              </w:rPr>
            </w:pPr>
          </w:p>
        </w:tc>
      </w:tr>
    </w:tbl>
    <w:p w:rsidR="00473636" w:rsidRDefault="00473636" w:rsidP="00473636">
      <w:pPr>
        <w:ind w:firstLine="720"/>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77"/>
        <w:gridCol w:w="1346"/>
        <w:gridCol w:w="1475"/>
        <w:gridCol w:w="1419"/>
        <w:gridCol w:w="1135"/>
        <w:gridCol w:w="1135"/>
        <w:gridCol w:w="1277"/>
        <w:gridCol w:w="1281"/>
      </w:tblGrid>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3636" w:rsidRDefault="00473636" w:rsidP="0076330B">
            <w:pPr>
              <w:tabs>
                <w:tab w:val="left" w:pos="3555"/>
              </w:tabs>
              <w:jc w:val="center"/>
              <w:rPr>
                <w:rFonts w:eastAsia="Calibri"/>
                <w:b/>
                <w:sz w:val="22"/>
                <w:szCs w:val="22"/>
              </w:rPr>
            </w:pPr>
            <w:r>
              <w:rPr>
                <w:b/>
                <w:sz w:val="22"/>
                <w:szCs w:val="22"/>
                <w:lang w:eastAsia="lt-LT"/>
              </w:rPr>
              <w:t>9.</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73636" w:rsidRDefault="00473636" w:rsidP="0076330B">
            <w:pPr>
              <w:tabs>
                <w:tab w:val="left" w:pos="3555"/>
              </w:tabs>
              <w:rPr>
                <w:rFonts w:eastAsia="Calibri"/>
                <w:b/>
                <w:sz w:val="22"/>
                <w:szCs w:val="22"/>
              </w:rPr>
            </w:pPr>
            <w:r>
              <w:rPr>
                <w:b/>
                <w:sz w:val="22"/>
                <w:szCs w:val="22"/>
                <w:lang w:eastAsia="lt-LT"/>
              </w:rPr>
              <w:t xml:space="preserve">SOCIALINIO VERSLO SOCIALINIO POVEIKIO MATAVIMO RODIKLIAI </w:t>
            </w:r>
          </w:p>
          <w:p w:rsidR="00473636" w:rsidRDefault="00473636" w:rsidP="0076330B">
            <w:pPr>
              <w:tabs>
                <w:tab w:val="left" w:pos="3555"/>
              </w:tabs>
              <w:rPr>
                <w:rFonts w:eastAsia="Calibri"/>
                <w:i/>
                <w:sz w:val="22"/>
                <w:szCs w:val="22"/>
              </w:rPr>
            </w:pPr>
            <w:r>
              <w:rPr>
                <w:i/>
                <w:sz w:val="22"/>
                <w:szCs w:val="22"/>
                <w:lang w:eastAsia="lt-LT"/>
              </w:rPr>
              <w:t>Pildoma tik vykdant socialinį verslą pagal Socialinio poveikio matavimo skaičiuoklėje pasirinktą (-</w:t>
            </w:r>
            <w:proofErr w:type="spellStart"/>
            <w:r>
              <w:rPr>
                <w:i/>
                <w:sz w:val="22"/>
                <w:szCs w:val="22"/>
                <w:lang w:eastAsia="lt-LT"/>
              </w:rPr>
              <w:t>us</w:t>
            </w:r>
            <w:proofErr w:type="spellEnd"/>
            <w:r>
              <w:rPr>
                <w:i/>
                <w:sz w:val="22"/>
                <w:szCs w:val="22"/>
                <w:lang w:eastAsia="lt-LT"/>
              </w:rPr>
              <w:t>) pagrindinį (-</w:t>
            </w:r>
            <w:proofErr w:type="spellStart"/>
            <w:r>
              <w:rPr>
                <w:i/>
                <w:sz w:val="22"/>
                <w:szCs w:val="22"/>
                <w:lang w:eastAsia="lt-LT"/>
              </w:rPr>
              <w:t>ius</w:t>
            </w:r>
            <w:proofErr w:type="spellEnd"/>
            <w:r>
              <w:rPr>
                <w:i/>
                <w:sz w:val="22"/>
                <w:szCs w:val="22"/>
                <w:lang w:eastAsia="lt-LT"/>
              </w:rPr>
              <w:t>) rodiklį (-</w:t>
            </w:r>
            <w:proofErr w:type="spellStart"/>
            <w:r>
              <w:rPr>
                <w:i/>
                <w:sz w:val="22"/>
                <w:szCs w:val="22"/>
                <w:lang w:eastAsia="lt-LT"/>
              </w:rPr>
              <w:t>ius</w:t>
            </w:r>
            <w:proofErr w:type="spellEnd"/>
            <w:r>
              <w:rPr>
                <w:i/>
                <w:sz w:val="22"/>
                <w:szCs w:val="22"/>
                <w:lang w:eastAsia="lt-LT"/>
              </w:rPr>
              <w:t>)</w:t>
            </w: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lang w:eastAsia="lt-LT"/>
              </w:rPr>
            </w:pPr>
            <w:r>
              <w:rPr>
                <w:b/>
                <w:sz w:val="22"/>
                <w:szCs w:val="22"/>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473636" w:rsidRDefault="00473636" w:rsidP="0076330B">
            <w:pPr>
              <w:tabs>
                <w:tab w:val="left" w:pos="3555"/>
              </w:tabs>
              <w:jc w:val="center"/>
              <w:rPr>
                <w:rFonts w:eastAsia="Calibri"/>
                <w:b/>
                <w:sz w:val="22"/>
                <w:szCs w:val="22"/>
              </w:rPr>
            </w:pPr>
            <w:r>
              <w:rPr>
                <w:b/>
                <w:sz w:val="22"/>
                <w:szCs w:val="22"/>
                <w:lang w:eastAsia="lt-LT"/>
              </w:rPr>
              <w:t>VIII</w:t>
            </w:r>
          </w:p>
        </w:tc>
      </w:tr>
      <w:tr w:rsidR="00473636" w:rsidTr="0076330B">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lang w:eastAsia="lt-LT"/>
              </w:rPr>
            </w:pPr>
            <w:r>
              <w:rPr>
                <w:b/>
                <w:sz w:val="22"/>
                <w:szCs w:val="22"/>
                <w:lang w:eastAsia="lt-LT"/>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Kontrolės laikotarpis**</w:t>
            </w:r>
          </w:p>
        </w:tc>
      </w:tr>
      <w:tr w:rsidR="00473636" w:rsidTr="0076330B">
        <w:tc>
          <w:tcPr>
            <w:tcW w:w="578"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lang w:eastAsia="lt-LT"/>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sz w:val="22"/>
                <w:szCs w:val="22"/>
                <w:lang w:eastAsia="lt-LT"/>
              </w:rPr>
              <w:t>Pagrindinio rodiklio skaitinės reikšmės projekto įgyvendinimo ir kontrolės laikotarpiais</w:t>
            </w:r>
          </w:p>
        </w:tc>
      </w:tr>
      <w:tr w:rsidR="00473636" w:rsidTr="0076330B">
        <w:tc>
          <w:tcPr>
            <w:tcW w:w="578"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473636" w:rsidRDefault="00473636" w:rsidP="0076330B">
            <w:pPr>
              <w:rPr>
                <w:rFonts w:eastAsia="Calibri"/>
                <w:b/>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 metai</w:t>
            </w:r>
          </w:p>
          <w:p w:rsidR="00473636" w:rsidRDefault="00473636" w:rsidP="0076330B">
            <w:pPr>
              <w:tabs>
                <w:tab w:val="left" w:pos="3555"/>
              </w:tabs>
              <w:jc w:val="center"/>
              <w:rPr>
                <w:rFonts w:eastAsia="Calibri"/>
                <w:i/>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 metai</w:t>
            </w:r>
          </w:p>
          <w:p w:rsidR="00473636" w:rsidRDefault="00473636" w:rsidP="0076330B">
            <w:pPr>
              <w:tabs>
                <w:tab w:val="left" w:pos="3555"/>
              </w:tabs>
              <w:jc w:val="center"/>
              <w:rPr>
                <w:rFonts w:eastAsia="Calibri"/>
                <w:b/>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 metai</w:t>
            </w:r>
          </w:p>
          <w:p w:rsidR="00473636" w:rsidRDefault="00473636" w:rsidP="0076330B">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 metai</w:t>
            </w:r>
          </w:p>
          <w:p w:rsidR="00473636" w:rsidRDefault="00473636" w:rsidP="0076330B">
            <w:pPr>
              <w:tabs>
                <w:tab w:val="left" w:pos="3555"/>
              </w:tabs>
              <w:jc w:val="center"/>
              <w:rPr>
                <w:rFonts w:eastAsia="Calibri"/>
                <w:b/>
                <w:sz w:val="22"/>
                <w:szCs w:val="22"/>
              </w:rPr>
            </w:pPr>
            <w:r>
              <w:rPr>
                <w:b/>
                <w:sz w:val="22"/>
                <w:szCs w:val="22"/>
                <w:lang w:eastAsia="lt-LT"/>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3636" w:rsidRDefault="00473636" w:rsidP="0076330B">
            <w:pPr>
              <w:tabs>
                <w:tab w:val="left" w:pos="3555"/>
              </w:tabs>
              <w:jc w:val="center"/>
              <w:rPr>
                <w:rFonts w:eastAsia="Calibri"/>
                <w:b/>
                <w:sz w:val="22"/>
                <w:szCs w:val="22"/>
              </w:rPr>
            </w:pPr>
            <w:r>
              <w:rPr>
                <w:b/>
                <w:sz w:val="22"/>
                <w:szCs w:val="22"/>
                <w:lang w:eastAsia="lt-LT"/>
              </w:rPr>
              <w:t>III metai</w:t>
            </w:r>
          </w:p>
          <w:p w:rsidR="00473636" w:rsidRDefault="00473636" w:rsidP="0076330B">
            <w:pPr>
              <w:tabs>
                <w:tab w:val="left" w:pos="3555"/>
              </w:tabs>
              <w:jc w:val="center"/>
              <w:rPr>
                <w:rFonts w:eastAsia="Calibri"/>
                <w:b/>
                <w:sz w:val="22"/>
                <w:szCs w:val="22"/>
              </w:rPr>
            </w:pPr>
            <w:r>
              <w:rPr>
                <w:b/>
                <w:sz w:val="22"/>
                <w:szCs w:val="22"/>
                <w:lang w:eastAsia="lt-LT"/>
              </w:rPr>
              <w:t>[20...&gt;</w:t>
            </w: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cap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r w:rsidR="00473636" w:rsidTr="0076330B">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3636" w:rsidRDefault="00473636" w:rsidP="0076330B">
            <w:pPr>
              <w:tabs>
                <w:tab w:val="left" w:pos="3555"/>
              </w:tabs>
              <w:jc w:val="center"/>
              <w:rPr>
                <w:rFonts w:eastAsia="Calibri"/>
                <w:b/>
                <w:sz w:val="22"/>
                <w:szCs w:val="22"/>
              </w:rPr>
            </w:pPr>
            <w:r>
              <w:rPr>
                <w:b/>
                <w:sz w:val="22"/>
                <w:szCs w:val="22"/>
                <w:lang w:eastAsia="lt-LT"/>
              </w:rPr>
              <w:t>9.3.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73636" w:rsidRDefault="00473636" w:rsidP="0076330B">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473636" w:rsidRDefault="00473636" w:rsidP="0076330B">
            <w:pPr>
              <w:tabs>
                <w:tab w:val="left" w:pos="3555"/>
              </w:tabs>
              <w:jc w:val="center"/>
              <w:rPr>
                <w:rFonts w:eastAsia="Calibri"/>
                <w:b/>
                <w:sz w:val="22"/>
                <w:szCs w:val="22"/>
              </w:rPr>
            </w:pPr>
          </w:p>
        </w:tc>
      </w:tr>
    </w:tbl>
    <w:p w:rsidR="00473636" w:rsidRDefault="00473636" w:rsidP="00473636">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77" w:rsidRDefault="00617777">
      <w:pPr>
        <w:overflowPunct w:val="0"/>
        <w:jc w:val="both"/>
        <w:textAlignment w:val="baseline"/>
      </w:pPr>
      <w:r>
        <w:separator/>
      </w:r>
    </w:p>
  </w:endnote>
  <w:endnote w:type="continuationSeparator" w:id="0">
    <w:p w:rsidR="00617777" w:rsidRDefault="00617777">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77" w:rsidRDefault="00617777">
      <w:pPr>
        <w:overflowPunct w:val="0"/>
        <w:jc w:val="both"/>
        <w:textAlignment w:val="baseline"/>
      </w:pPr>
      <w:r>
        <w:separator/>
      </w:r>
    </w:p>
  </w:footnote>
  <w:footnote w:type="continuationSeparator" w:id="0">
    <w:p w:rsidR="00617777" w:rsidRDefault="00617777">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770705">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EA452A" w:rsidRPr="00EA452A">
      <w:rPr>
        <w:noProof/>
      </w:rPr>
      <w:t>2</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3314"/>
  </w:hdrShapeDefaults>
  <w:footnotePr>
    <w:footnote w:id="-1"/>
    <w:footnote w:id="0"/>
  </w:footnotePr>
  <w:endnotePr>
    <w:endnote w:id="-1"/>
    <w:endnote w:id="0"/>
  </w:endnotePr>
  <w:compat/>
  <w:rsids>
    <w:rsidRoot w:val="00BF1F90"/>
    <w:rsid w:val="00287647"/>
    <w:rsid w:val="00293EE9"/>
    <w:rsid w:val="002F2E4D"/>
    <w:rsid w:val="00460F34"/>
    <w:rsid w:val="00473636"/>
    <w:rsid w:val="00591B4B"/>
    <w:rsid w:val="00617777"/>
    <w:rsid w:val="0062413D"/>
    <w:rsid w:val="00770705"/>
    <w:rsid w:val="007A5507"/>
    <w:rsid w:val="00860AA8"/>
    <w:rsid w:val="008A0F97"/>
    <w:rsid w:val="008C3CD7"/>
    <w:rsid w:val="00912721"/>
    <w:rsid w:val="009C3C5A"/>
    <w:rsid w:val="00A24668"/>
    <w:rsid w:val="00B02588"/>
    <w:rsid w:val="00B12DA2"/>
    <w:rsid w:val="00B445F8"/>
    <w:rsid w:val="00BD0B10"/>
    <w:rsid w:val="00BF1F90"/>
    <w:rsid w:val="00BF604D"/>
    <w:rsid w:val="00C652A1"/>
    <w:rsid w:val="00D74679"/>
    <w:rsid w:val="00D818A1"/>
    <w:rsid w:val="00DE4A68"/>
    <w:rsid w:val="00E743DD"/>
    <w:rsid w:val="00EA452A"/>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21022</Words>
  <Characters>11983</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32940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2020-10-28T19:42:00Z</dcterms:modified>
</cp:coreProperties>
</file>