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BF1651" w:rsidRDefault="00BF1651" w:rsidP="00BF1651">
      <w:pPr>
        <w:pStyle w:val="Pavadinimas"/>
        <w:ind w:left="10368" w:right="720"/>
        <w:jc w:val="left"/>
      </w:pPr>
      <w:r>
        <w:t xml:space="preserve">    </w:t>
      </w:r>
      <w:r w:rsidR="005359CB" w:rsidRPr="00BF1651">
        <w:t>PATVIRTINTA</w:t>
      </w:r>
    </w:p>
    <w:p w:rsidR="005359CB" w:rsidRPr="00BF1651" w:rsidRDefault="005359CB" w:rsidP="005359CB">
      <w:pPr>
        <w:tabs>
          <w:tab w:val="left" w:pos="5245"/>
        </w:tabs>
        <w:ind w:left="10368"/>
      </w:pPr>
      <w:r w:rsidRPr="00BF1651">
        <w:t xml:space="preserve">    Alytaus rajono  vietos veiklos grupės</w:t>
      </w:r>
    </w:p>
    <w:p w:rsidR="005359CB" w:rsidRPr="00BF1651" w:rsidRDefault="005359CB" w:rsidP="005359CB">
      <w:pPr>
        <w:tabs>
          <w:tab w:val="left" w:pos="5670"/>
          <w:tab w:val="left" w:pos="6237"/>
          <w:tab w:val="left" w:pos="6521"/>
        </w:tabs>
        <w:ind w:left="12"/>
      </w:pPr>
      <w:r w:rsidRPr="00BF1651">
        <w:t xml:space="preserve">                                                                                                                                                                                 20</w:t>
      </w:r>
      <w:r w:rsidR="00B05B86" w:rsidRPr="00BF1651">
        <w:t>2</w:t>
      </w:r>
      <w:r w:rsidR="00936131" w:rsidRPr="00BF1651">
        <w:t>3</w:t>
      </w:r>
      <w:r w:rsidR="00A7277D" w:rsidRPr="00BF1651">
        <w:t xml:space="preserve"> </w:t>
      </w:r>
      <w:r w:rsidRPr="00BF1651">
        <w:t xml:space="preserve">m. </w:t>
      </w:r>
      <w:r w:rsidR="009B3550" w:rsidRPr="00BF1651">
        <w:t xml:space="preserve"> </w:t>
      </w:r>
      <w:r w:rsidR="00936131" w:rsidRPr="00BF1651">
        <w:t>birželio</w:t>
      </w:r>
      <w:r w:rsidR="00BF1651" w:rsidRPr="00BF1651">
        <w:t xml:space="preserve"> 23</w:t>
      </w:r>
      <w:r w:rsidR="00936131" w:rsidRPr="00BF1651">
        <w:t xml:space="preserve"> </w:t>
      </w:r>
      <w:r w:rsidR="00E46FA9" w:rsidRPr="00BF1651">
        <w:t xml:space="preserve"> </w:t>
      </w:r>
      <w:r w:rsidRPr="00BF1651">
        <w:t xml:space="preserve">d. valdybos </w:t>
      </w:r>
    </w:p>
    <w:p w:rsidR="005359CB" w:rsidRPr="00BF1651" w:rsidRDefault="005359CB" w:rsidP="005359CB">
      <w:pPr>
        <w:tabs>
          <w:tab w:val="left" w:pos="5670"/>
          <w:tab w:val="left" w:pos="6237"/>
          <w:tab w:val="left" w:pos="6521"/>
        </w:tabs>
        <w:ind w:left="12"/>
      </w:pPr>
      <w:r w:rsidRPr="00BF1651">
        <w:t xml:space="preserve">                                                                                                                                                                                 rašytinio sprendimo priėmimo </w:t>
      </w:r>
    </w:p>
    <w:p w:rsidR="005359CB" w:rsidRPr="00BF1651" w:rsidRDefault="005359CB" w:rsidP="005359CB">
      <w:pPr>
        <w:tabs>
          <w:tab w:val="left" w:pos="5245"/>
        </w:tabs>
      </w:pPr>
      <w:r w:rsidRPr="00BF1651">
        <w:t xml:space="preserve">                                                                                                                                                                                 procedūros protokolu  Nr.</w:t>
      </w:r>
      <w:r w:rsidR="00936131" w:rsidRPr="00BF1651">
        <w:t>4</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sidRPr="00920C21">
        <w:rPr>
          <w:sz w:val="24"/>
          <w:szCs w:val="24"/>
          <w:lang w:val="lt-LT"/>
        </w:rPr>
        <w:t>3</w:t>
      </w:r>
      <w:r w:rsidR="00936131">
        <w:rPr>
          <w:sz w:val="24"/>
          <w:szCs w:val="24"/>
          <w:lang w:val="lt-LT"/>
        </w:rPr>
        <w:t>8</w:t>
      </w:r>
      <w:r w:rsidR="00FC24B1">
        <w:rPr>
          <w:sz w:val="24"/>
          <w:szCs w:val="24"/>
          <w:lang w:val="lt-LT"/>
        </w:rPr>
        <w:t xml:space="preserve"> </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D64A19" w:rsidRDefault="001E48BE" w:rsidP="00BF1651">
            <w:pPr>
              <w:jc w:val="both"/>
              <w:textAlignment w:val="baseline"/>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D64A19" w:rsidRPr="00D64A19">
              <w:t xml:space="preserve"> </w:t>
            </w:r>
            <w:r w:rsidR="009B3550" w:rsidRPr="00D64A19">
              <w:t xml:space="preserve">(nauja redakcija nuo </w:t>
            </w:r>
            <w:r w:rsidR="00D64A19" w:rsidRPr="00D64A19">
              <w:rPr>
                <w:bCs/>
                <w:iCs/>
                <w:color w:val="000000"/>
              </w:rPr>
              <w:t>2023-02-18:</w:t>
            </w:r>
            <w:r w:rsidR="00D64A19" w:rsidRPr="00D64A19">
              <w:rPr>
                <w:color w:val="000000"/>
              </w:rPr>
              <w:t xml:space="preserve"> </w:t>
            </w:r>
            <w:r w:rsidR="00D64A19" w:rsidRPr="00D64A19">
              <w:rPr>
                <w:iCs/>
                <w:color w:val="000000"/>
              </w:rPr>
              <w:t>Nr. </w:t>
            </w:r>
            <w:hyperlink r:id="rId13" w:tgtFrame="_parent" w:history="1">
              <w:r w:rsidR="00D64A19" w:rsidRPr="00D64A19">
                <w:rPr>
                  <w:rStyle w:val="Hipersaitas"/>
                  <w:iCs/>
                  <w:color w:val="auto"/>
                  <w:u w:val="none"/>
                </w:rPr>
                <w:t>3D-89</w:t>
              </w:r>
            </w:hyperlink>
            <w:r w:rsidR="00D64A19" w:rsidRPr="00D64A19">
              <w:rPr>
                <w:iCs/>
                <w:color w:val="000000"/>
              </w:rPr>
              <w:t xml:space="preserve">, 2023-02-17, paskelbta TAR 2023-02-17, i. </w:t>
            </w:r>
            <w:r w:rsidR="00D64A19" w:rsidRPr="009D7E94">
              <w:rPr>
                <w:iCs/>
                <w:color w:val="000000"/>
              </w:rPr>
              <w:t>k. 2023-02858</w:t>
            </w:r>
            <w:r w:rsidR="009B3550" w:rsidRPr="009D7E94">
              <w:rPr>
                <w:rFonts w:eastAsia="MS Mincho"/>
                <w:iCs/>
              </w:rPr>
              <w:t>),</w:t>
            </w:r>
            <w:r w:rsidR="009B3550" w:rsidRPr="009D7E94">
              <w:t xml:space="preserve"> (</w:t>
            </w:r>
            <w:r w:rsidR="00BF1651">
              <w:rPr>
                <w:bCs/>
                <w:iCs/>
                <w:color w:val="000000"/>
              </w:rPr>
              <w:t>s</w:t>
            </w:r>
            <w:r w:rsidR="00D64A19" w:rsidRPr="009D7E94">
              <w:rPr>
                <w:bCs/>
                <w:iCs/>
                <w:color w:val="000000"/>
              </w:rPr>
              <w:t xml:space="preserve">uvestinė redakcija nuo 2023-05-12, </w:t>
            </w:r>
            <w:r w:rsidR="009D7E94" w:rsidRPr="009D7E94">
              <w:rPr>
                <w:bdr w:val="none" w:sz="0" w:space="0" w:color="auto" w:frame="1"/>
                <w:shd w:val="clear" w:color="auto" w:fill="FFFFFF"/>
              </w:rPr>
              <w:t>Lietuvos Respublikos ž</w:t>
            </w:r>
            <w:r w:rsidR="009B3550" w:rsidRPr="009D7E94">
              <w:rPr>
                <w:bdr w:val="none" w:sz="0" w:space="0" w:color="auto" w:frame="1"/>
                <w:shd w:val="clear" w:color="auto" w:fill="FFFFFF"/>
              </w:rPr>
              <w:t xml:space="preserve">emės ūkio  ministro įsakymas </w:t>
            </w:r>
            <w:r w:rsidR="009B3550" w:rsidRPr="009D7E94">
              <w:t xml:space="preserve"> </w:t>
            </w:r>
            <w:r w:rsidR="00D64A19" w:rsidRPr="009D7E94">
              <w:rPr>
                <w:color w:val="000000"/>
              </w:rPr>
              <w:t>2023 m. gegužės 11 d. Nr. 3D-317</w:t>
            </w:r>
            <w:r w:rsidR="009D7E94" w:rsidRPr="009D7E94">
              <w:rPr>
                <w:color w:val="000000"/>
              </w:rPr>
              <w:t>,</w:t>
            </w:r>
            <w:r w:rsidR="009D7E94" w:rsidRPr="009D7E94">
              <w:rPr>
                <w:color w:val="333333"/>
                <w:sz w:val="18"/>
                <w:szCs w:val="18"/>
                <w:shd w:val="clear" w:color="auto" w:fill="FFFFFF"/>
              </w:rPr>
              <w:t xml:space="preserve"> </w:t>
            </w:r>
            <w:r w:rsidR="009D7E94" w:rsidRPr="009D7E94">
              <w:rPr>
                <w:color w:val="333333"/>
                <w:shd w:val="clear" w:color="auto" w:fill="FFFFFF"/>
              </w:rPr>
              <w:t>TAR, 2023-05-11, Nr. 8982</w:t>
            </w:r>
            <w:r w:rsidR="009B3550" w:rsidRPr="009D7E94">
              <w:rPr>
                <w:bCs/>
                <w:color w:val="333333"/>
                <w:shd w:val="clear" w:color="auto" w:fill="FFFFFF"/>
              </w:rPr>
              <w:t>)</w:t>
            </w:r>
            <w:r w:rsidR="009B3550" w:rsidRPr="00D64A19">
              <w:t xml:space="preserve"> </w:t>
            </w:r>
            <w:r w:rsidRPr="00D64A19">
              <w:t xml:space="preserve">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w:t>
            </w:r>
            <w:r w:rsidRPr="009B5B1D">
              <w:rPr>
                <w:sz w:val="22"/>
                <w:szCs w:val="22"/>
              </w:rPr>
              <w:lastRenderedPageBreak/>
              <w:t>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936131"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36131" w:rsidP="00736A88">
            <w:pPr>
              <w:jc w:val="center"/>
              <w:rPr>
                <w:sz w:val="22"/>
                <w:szCs w:val="22"/>
              </w:rPr>
            </w:pPr>
            <w:r>
              <w:rPr>
                <w:sz w:val="22"/>
                <w:szCs w:val="22"/>
              </w:rPr>
              <w:t>0</w:t>
            </w:r>
          </w:p>
        </w:tc>
        <w:tc>
          <w:tcPr>
            <w:tcW w:w="404" w:type="dxa"/>
            <w:shd w:val="clear" w:color="auto" w:fill="auto"/>
            <w:vAlign w:val="center"/>
          </w:tcPr>
          <w:p w:rsidR="00BA472C" w:rsidRPr="00A120FC" w:rsidRDefault="00936131" w:rsidP="00736A88">
            <w:pPr>
              <w:jc w:val="center"/>
              <w:rPr>
                <w:sz w:val="22"/>
                <w:szCs w:val="22"/>
              </w:rPr>
            </w:pPr>
            <w:r>
              <w:rPr>
                <w:sz w:val="22"/>
                <w:szCs w:val="22"/>
              </w:rPr>
              <w:t>7</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36131" w:rsidP="00736A88">
            <w:pPr>
              <w:jc w:val="center"/>
              <w:rPr>
                <w:sz w:val="22"/>
                <w:szCs w:val="22"/>
              </w:rPr>
            </w:pPr>
            <w:r>
              <w:rPr>
                <w:sz w:val="22"/>
                <w:szCs w:val="22"/>
              </w:rPr>
              <w:t>1</w:t>
            </w:r>
          </w:p>
        </w:tc>
        <w:tc>
          <w:tcPr>
            <w:tcW w:w="971" w:type="dxa"/>
            <w:shd w:val="clear" w:color="auto" w:fill="auto"/>
            <w:vAlign w:val="center"/>
          </w:tcPr>
          <w:p w:rsidR="00BA472C" w:rsidRPr="00A120FC" w:rsidRDefault="00936131" w:rsidP="00736A88">
            <w:pPr>
              <w:jc w:val="center"/>
              <w:rPr>
                <w:sz w:val="22"/>
                <w:szCs w:val="22"/>
              </w:rPr>
            </w:pPr>
            <w:r>
              <w:rPr>
                <w:sz w:val="22"/>
                <w:szCs w:val="22"/>
              </w:rPr>
              <w:t>7</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9B3550"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B3550" w:rsidP="00736A88">
            <w:pPr>
              <w:jc w:val="center"/>
              <w:rPr>
                <w:sz w:val="22"/>
                <w:szCs w:val="22"/>
              </w:rPr>
            </w:pPr>
            <w:r>
              <w:rPr>
                <w:sz w:val="22"/>
                <w:szCs w:val="22"/>
              </w:rPr>
              <w:t>0</w:t>
            </w:r>
          </w:p>
        </w:tc>
        <w:tc>
          <w:tcPr>
            <w:tcW w:w="404" w:type="dxa"/>
            <w:shd w:val="clear" w:color="auto" w:fill="auto"/>
            <w:vAlign w:val="center"/>
          </w:tcPr>
          <w:p w:rsidR="00BA472C" w:rsidRPr="00A120FC" w:rsidRDefault="00936131"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936131" w:rsidP="00736A88">
            <w:pPr>
              <w:jc w:val="center"/>
              <w:rPr>
                <w:sz w:val="22"/>
                <w:szCs w:val="22"/>
              </w:rPr>
            </w:pPr>
            <w:r>
              <w:rPr>
                <w:sz w:val="22"/>
                <w:szCs w:val="22"/>
              </w:rPr>
              <w:t>2</w:t>
            </w:r>
          </w:p>
        </w:tc>
        <w:tc>
          <w:tcPr>
            <w:tcW w:w="971" w:type="dxa"/>
            <w:shd w:val="clear" w:color="auto" w:fill="auto"/>
            <w:vAlign w:val="center"/>
          </w:tcPr>
          <w:p w:rsidR="00BA472C" w:rsidRPr="00A120FC" w:rsidRDefault="00936131" w:rsidP="00736A88">
            <w:pPr>
              <w:jc w:val="center"/>
              <w:rPr>
                <w:sz w:val="22"/>
                <w:szCs w:val="22"/>
              </w:rPr>
            </w:pPr>
            <w:r>
              <w:rPr>
                <w:sz w:val="22"/>
                <w:szCs w:val="22"/>
              </w:rPr>
              <w:t>1</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3</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0</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6</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2</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3</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936131">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936131">
              <w:rPr>
                <w:sz w:val="22"/>
                <w:szCs w:val="22"/>
              </w:rPr>
              <w:t>4</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w:t>
            </w:r>
            <w:r w:rsidRPr="00735D59">
              <w:rPr>
                <w:b w:val="0"/>
                <w:caps w:val="0"/>
                <w:sz w:val="22"/>
                <w:szCs w:val="22"/>
                <w:lang w:val="lt-LT"/>
              </w:rPr>
              <w:lastRenderedPageBreak/>
              <w:t>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lastRenderedPageBreak/>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teritorijoje registruoti ir veiklą 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936131" w:rsidP="00936131">
            <w:pPr>
              <w:jc w:val="both"/>
              <w:rPr>
                <w:b/>
                <w:i/>
                <w:sz w:val="22"/>
                <w:szCs w:val="22"/>
              </w:rPr>
            </w:pPr>
            <w:r>
              <w:rPr>
                <w:sz w:val="22"/>
              </w:rPr>
              <w:t>16</w:t>
            </w:r>
            <w:r w:rsidR="001469D9">
              <w:rPr>
                <w:sz w:val="22"/>
              </w:rPr>
              <w:t xml:space="preserve"> </w:t>
            </w:r>
            <w:r>
              <w:rPr>
                <w:sz w:val="22"/>
              </w:rPr>
              <w:t>052</w:t>
            </w:r>
            <w:r w:rsidR="000C1CF8" w:rsidRPr="00CB49E2">
              <w:rPr>
                <w:sz w:val="22"/>
              </w:rPr>
              <w:t>,</w:t>
            </w:r>
            <w:r w:rsidR="009B3550">
              <w:rPr>
                <w:sz w:val="22"/>
              </w:rPr>
              <w:t>00</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C5E32" w:rsidP="001E48BE">
            <w:pPr>
              <w:jc w:val="both"/>
              <w:rPr>
                <w:b/>
                <w:i/>
                <w:sz w:val="22"/>
                <w:szCs w:val="22"/>
              </w:rPr>
            </w:pPr>
            <w:r>
              <w:rPr>
                <w:sz w:val="22"/>
              </w:rPr>
              <w:t xml:space="preserve">iki </w:t>
            </w:r>
            <w:r w:rsidR="000C1CF8">
              <w:rPr>
                <w:sz w:val="22"/>
              </w:rPr>
              <w:t>16 052,00</w:t>
            </w:r>
            <w:r w:rsidR="00CA59C2" w:rsidRPr="00CA59C2">
              <w:rPr>
                <w:sz w:val="22"/>
              </w:rPr>
              <w:t xml:space="preserve"> </w:t>
            </w:r>
            <w:proofErr w:type="spellStart"/>
            <w:r w:rsidR="00CA59C2" w:rsidRPr="00CA59C2">
              <w:rPr>
                <w:sz w:val="22"/>
              </w:rPr>
              <w:t>Eur</w:t>
            </w:r>
            <w:proofErr w:type="spellEnd"/>
            <w:r>
              <w:rPr>
                <w:sz w:val="22"/>
              </w:rPr>
              <w:t xml:space="preserve"> </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lastRenderedPageBreak/>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lastRenderedPageBreak/>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w:t>
            </w:r>
            <w:r w:rsidRPr="00F209AA">
              <w:rPr>
                <w:sz w:val="22"/>
              </w:rPr>
              <w:lastRenderedPageBreak/>
              <w:t>„Vietos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w:t>
            </w:r>
            <w:r w:rsidRPr="004C3564">
              <w:rPr>
                <w:sz w:val="22"/>
              </w:rPr>
              <w:lastRenderedPageBreak/>
              <w:t xml:space="preserve">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040E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w:t>
            </w:r>
            <w:r w:rsidR="003E16B4">
              <w:rPr>
                <w:color w:val="000000"/>
              </w:rPr>
              <w:lastRenderedPageBreak/>
              <w:t>laikotarpis –</w:t>
            </w:r>
            <w:r w:rsidR="003040EC">
              <w:rPr>
                <w:color w:val="000000"/>
              </w:rPr>
              <w:t xml:space="preserve">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įrangos, skirtų projekto </w:t>
            </w:r>
            <w:r w:rsidRPr="00B21F01">
              <w:rPr>
                <w:b/>
              </w:rPr>
              <w:lastRenderedPageBreak/>
              <w:t>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009973A5" w:rsidRPr="009973A5">
              <w:rPr>
                <w:b/>
                <w:sz w:val="22"/>
              </w:rPr>
              <w:t>.</w:t>
            </w:r>
            <w:r w:rsidR="009973A5" w:rsidRPr="009973A5">
              <w:rPr>
                <w:rFonts w:eastAsia="Calibri"/>
                <w:b/>
                <w:sz w:val="22"/>
              </w:rPr>
              <w:t xml:space="preserve"> </w:t>
            </w:r>
            <w:r w:rsidR="009973A5" w:rsidRPr="009973A5">
              <w:rPr>
                <w:rFonts w:eastAsia="Calibri"/>
                <w:b/>
                <w:sz w:val="22"/>
              </w:rPr>
              <w:lastRenderedPageBreak/>
              <w:t>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 xml:space="preserve">3.5.2. neišvardytos VVG patvirtintoje vietos projekto paraiškoje (po vietos projekto paraiškos pateikimo neleidžiama įtraukti naujų išlaidų ar jas keisti kitomis), </w:t>
            </w:r>
            <w:r w:rsidRPr="00E91F04">
              <w:rPr>
                <w:sz w:val="22"/>
                <w:szCs w:val="22"/>
              </w:rPr>
              <w:lastRenderedPageBreak/>
              <w:t>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 xml:space="preserve">buitinių nuotekų tvarkymo sistemų rekonstravimas ir (arba) nauja statyba (išskyrus pastatų eksploatavimui reikalingų vidaus buitinių nuotekų sistemų, paviršinių </w:t>
            </w:r>
            <w:r w:rsidR="00B5599F" w:rsidRPr="00B5599F">
              <w:rPr>
                <w:sz w:val="22"/>
                <w:szCs w:val="22"/>
              </w:rPr>
              <w:lastRenderedPageBreak/>
              <w:t>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lastRenderedPageBreak/>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w:t>
            </w:r>
            <w:r w:rsidRPr="00404CC9">
              <w:rPr>
                <w:sz w:val="22"/>
                <w:szCs w:val="22"/>
              </w:rPr>
              <w:lastRenderedPageBreak/>
              <w:t>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834138">
            <w:pPr>
              <w:jc w:val="both"/>
              <w:rPr>
                <w:sz w:val="22"/>
                <w:szCs w:val="22"/>
              </w:rPr>
            </w:pPr>
            <w:r w:rsidRPr="00404CC9">
              <w:rPr>
                <w:sz w:val="22"/>
                <w:szCs w:val="22"/>
              </w:rPr>
              <w:t xml:space="preserve">įgyvendinti </w:t>
            </w:r>
            <w:r w:rsidRPr="003E16B4">
              <w:rPr>
                <w:sz w:val="22"/>
                <w:szCs w:val="22"/>
              </w:rPr>
              <w:t xml:space="preserve">projektą </w:t>
            </w:r>
            <w:r w:rsidR="0070383C" w:rsidRPr="003E16B4">
              <w:rPr>
                <w:sz w:val="22"/>
                <w:szCs w:val="22"/>
              </w:rPr>
              <w:t>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2D1EA3"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2D1EA3"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2D1EA3"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lastRenderedPageBreak/>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lastRenderedPageBreak/>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 xml:space="preserve">juridinio asmens, kurio veikla finansuojama iš Lietuvos Respublikos valstybės ir (arba) savivaldybių </w:t>
            </w:r>
            <w:r w:rsidR="004A22D9" w:rsidRPr="00A120FC">
              <w:rPr>
                <w:rFonts w:ascii="Times New Roman" w:hAnsi="Times New Roman" w:cs="Times New Roman"/>
                <w:color w:val="000000"/>
                <w:sz w:val="22"/>
                <w:szCs w:val="22"/>
                <w:lang w:val="lt-LT"/>
              </w:rPr>
              <w:lastRenderedPageBreak/>
              <w:t>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xml:space="preserve">“ bei 5 dalyje „Vietos projekto </w:t>
            </w:r>
            <w:r w:rsidR="004F1C9A" w:rsidRPr="00A120FC">
              <w:rPr>
                <w:rFonts w:ascii="Times New Roman" w:hAnsi="Times New Roman" w:cs="Times New Roman"/>
                <w:sz w:val="22"/>
                <w:szCs w:val="22"/>
                <w:lang w:val="lt-LT"/>
              </w:rPr>
              <w:lastRenderedPageBreak/>
              <w:t>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7B2199">
            <w:pPr>
              <w:pStyle w:val="BodyText10"/>
              <w:ind w:firstLine="0"/>
              <w:rPr>
                <w:color w:val="000000"/>
                <w:sz w:val="22"/>
                <w:szCs w:val="22"/>
                <w:lang w:val="lt-LT"/>
              </w:rPr>
            </w:pPr>
            <w:r>
              <w:rPr>
                <w:color w:val="000000"/>
                <w:sz w:val="22"/>
                <w:szCs w:val="22"/>
                <w:lang w:val="lt-LT"/>
              </w:rPr>
              <w:t xml:space="preserve">8.2.  </w:t>
            </w:r>
            <w:r w:rsidR="007B2199"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7B2199" w:rsidP="004E2729">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3</w:t>
            </w:r>
            <w:r>
              <w:rPr>
                <w:rFonts w:ascii="Times New Roman" w:hAnsi="Times New Roman" w:cs="Times New Roman"/>
                <w:color w:val="000000"/>
                <w:sz w:val="22"/>
                <w:szCs w:val="22"/>
                <w:lang w:val="lt-LT"/>
              </w:rPr>
              <w:t>8</w:t>
            </w:r>
            <w:r w:rsidRPr="006139C6">
              <w:rPr>
                <w:rFonts w:ascii="Times New Roman" w:hAnsi="Times New Roman" w:cs="Times New Roman"/>
                <w:color w:val="000000"/>
                <w:sz w:val="22"/>
                <w:szCs w:val="22"/>
                <w:lang w:val="lt-LT"/>
              </w:rPr>
              <w:t>,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4" w:history="1">
              <w:r w:rsidRPr="006139C6">
                <w:rPr>
                  <w:rStyle w:val="Hipersaitas"/>
                  <w:rFonts w:ascii="Times New Roman" w:hAnsi="Times New Roman" w:cs="Times New Roman"/>
                  <w:sz w:val="22"/>
                  <w:szCs w:val="22"/>
                  <w:lang w:val="lt-LT"/>
                </w:rPr>
                <w:t>alytausrajonovvgprojektai@gmail.com</w:t>
              </w:r>
            </w:hyperlink>
            <w:r>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E3" w:rsidRDefault="00310BE3" w:rsidP="0056536E">
      <w:r>
        <w:separator/>
      </w:r>
    </w:p>
  </w:endnote>
  <w:endnote w:type="continuationSeparator" w:id="0">
    <w:p w:rsidR="00310BE3" w:rsidRDefault="00310BE3"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2D1EA3">
    <w:pPr>
      <w:pStyle w:val="Porat"/>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CC5E32">
    <w:pPr>
      <w:pStyle w:val="Porat"/>
      <w:framePr w:wrap="around" w:vAnchor="text" w:hAnchor="margin" w:xAlign="right" w:y="1"/>
      <w:rPr>
        <w:rStyle w:val="Puslapionumeris"/>
      </w:rPr>
    </w:pPr>
  </w:p>
  <w:p w:rsidR="00CC5E32" w:rsidRDefault="00CC5E32"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Pr="00875792" w:rsidRDefault="00CC5E32"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E3" w:rsidRDefault="00310BE3" w:rsidP="0056536E">
      <w:r>
        <w:separator/>
      </w:r>
    </w:p>
  </w:footnote>
  <w:footnote w:type="continuationSeparator" w:id="0">
    <w:p w:rsidR="00310BE3" w:rsidRDefault="00310BE3"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2D1EA3">
    <w:pPr>
      <w:pStyle w:val="Antrats"/>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2D1EA3">
    <w:pPr>
      <w:pStyle w:val="Antrats"/>
      <w:jc w:val="center"/>
    </w:pPr>
    <w:fldSimple w:instr="PAGE   \* MERGEFORMAT">
      <w:r w:rsidR="00834138">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CC5E32">
    <w:pPr>
      <w:pStyle w:val="Antrats"/>
      <w:jc w:val="center"/>
    </w:pPr>
  </w:p>
  <w:p w:rsidR="00CC5E32" w:rsidRDefault="00CC5E3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0035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0AC"/>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A3"/>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0EC"/>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0BE3"/>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D3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5F46"/>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07"/>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3BC"/>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292"/>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199"/>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0E6"/>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38"/>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485"/>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31"/>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550"/>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D7E9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6FE"/>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651"/>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5E32"/>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A19"/>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1C57"/>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BED"/>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11">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830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B59C-662F-41C2-8F73-FA265AED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17</Pages>
  <Words>36275</Words>
  <Characters>20677</Characters>
  <Application>Microsoft Office Word</Application>
  <DocSecurity>0</DocSecurity>
  <Lines>172</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56839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55</cp:revision>
  <cp:lastPrinted>2022-01-23T16:37:00Z</cp:lastPrinted>
  <dcterms:created xsi:type="dcterms:W3CDTF">2018-05-09T10:16:00Z</dcterms:created>
  <dcterms:modified xsi:type="dcterms:W3CDTF">2023-06-23T12:14:00Z</dcterms:modified>
</cp:coreProperties>
</file>