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CA06BB" w:rsidRDefault="005359CB" w:rsidP="005359CB">
      <w:pPr>
        <w:tabs>
          <w:tab w:val="left" w:pos="5670"/>
          <w:tab w:val="left" w:pos="6237"/>
          <w:tab w:val="left" w:pos="6521"/>
        </w:tabs>
        <w:ind w:left="12"/>
      </w:pPr>
      <w:r w:rsidRPr="00F24503">
        <w:t xml:space="preserve">                                                                                                                                                                                 </w:t>
      </w:r>
      <w:r w:rsidRPr="00CA06BB">
        <w:t>20</w:t>
      </w:r>
      <w:r w:rsidR="00B05B86" w:rsidRPr="00CA06BB">
        <w:t>2</w:t>
      </w:r>
      <w:r w:rsidR="00A7277D" w:rsidRPr="00CA06BB">
        <w:t xml:space="preserve">2 </w:t>
      </w:r>
      <w:r w:rsidRPr="00CA06BB">
        <w:t xml:space="preserve">m. </w:t>
      </w:r>
      <w:r w:rsidR="00A7277D" w:rsidRPr="00CA06BB">
        <w:t xml:space="preserve"> </w:t>
      </w:r>
      <w:r w:rsidR="00F85C46">
        <w:t>kovo 25</w:t>
      </w:r>
      <w:r w:rsidR="00E46FA9" w:rsidRPr="00CA06BB">
        <w:t xml:space="preserve"> </w:t>
      </w:r>
      <w:r w:rsidRPr="00CA06BB">
        <w:t xml:space="preserve">d. valdybos </w:t>
      </w:r>
    </w:p>
    <w:p w:rsidR="005359CB" w:rsidRPr="00CA06BB" w:rsidRDefault="005359CB" w:rsidP="005359CB">
      <w:pPr>
        <w:tabs>
          <w:tab w:val="left" w:pos="5670"/>
          <w:tab w:val="left" w:pos="6237"/>
          <w:tab w:val="left" w:pos="6521"/>
        </w:tabs>
        <w:ind w:left="12"/>
      </w:pPr>
      <w:r w:rsidRPr="00CA06BB">
        <w:t xml:space="preserve">                                                                                                                                                                                 rašytinio sprendimo priėmimo </w:t>
      </w:r>
    </w:p>
    <w:p w:rsidR="005359CB" w:rsidRPr="005C06B5" w:rsidRDefault="005359CB" w:rsidP="005359CB">
      <w:pPr>
        <w:tabs>
          <w:tab w:val="left" w:pos="5245"/>
        </w:tabs>
      </w:pPr>
      <w:r w:rsidRPr="00CA06BB">
        <w:t xml:space="preserve">                                                                                                                                                                                 procedūros protokolu  Nr.</w:t>
      </w:r>
      <w:r w:rsidR="00E46FA9" w:rsidRPr="00CA06BB">
        <w:t>32</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w:t>
      </w:r>
      <w:r w:rsidR="00A7277D">
        <w:rPr>
          <w:sz w:val="24"/>
          <w:szCs w:val="24"/>
          <w:lang w:val="lt-LT"/>
        </w:rPr>
        <w:t>2</w:t>
      </w:r>
      <w:r w:rsidR="00FC24B1">
        <w:rPr>
          <w:sz w:val="24"/>
          <w:szCs w:val="24"/>
          <w:lang w:val="lt-LT"/>
        </w:rPr>
        <w:t xml:space="preserve"> </w:t>
      </w:r>
      <w:r w:rsidR="00F85C46">
        <w:rPr>
          <w:sz w:val="24"/>
          <w:szCs w:val="24"/>
          <w:lang w:val="lt-LT"/>
        </w:rPr>
        <w:t>(pratęstas)</w:t>
      </w:r>
      <w:r w:rsidR="00A7277D">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C02770" w:rsidRDefault="001E48BE" w:rsidP="00162562">
            <w:pPr>
              <w:rPr>
                <w:color w:val="000000"/>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Pr="00C02770">
              <w:t>(</w:t>
            </w:r>
            <w:r w:rsidR="00162562">
              <w:rPr>
                <w:bCs/>
                <w:iCs/>
                <w:color w:val="000000"/>
              </w:rPr>
              <w:t>n</w:t>
            </w:r>
            <w:r w:rsidR="00C02770" w:rsidRPr="00C02770">
              <w:rPr>
                <w:bCs/>
                <w:iCs/>
                <w:color w:val="000000"/>
              </w:rPr>
              <w:t>auja redakcija nuo 2021-06-01:</w:t>
            </w:r>
            <w:r w:rsidR="00C02770" w:rsidRPr="00C02770">
              <w:rPr>
                <w:iCs/>
                <w:color w:val="000000"/>
              </w:rPr>
              <w:t>Nr. </w:t>
            </w:r>
            <w:hyperlink r:id="rId13" w:tgtFrame="_parent" w:history="1">
              <w:r w:rsidR="00C02770" w:rsidRPr="00C02770">
                <w:rPr>
                  <w:rStyle w:val="Hipersaitas"/>
                  <w:iCs/>
                </w:rPr>
                <w:t>3D-352</w:t>
              </w:r>
            </w:hyperlink>
            <w:r w:rsidR="00C02770" w:rsidRPr="00C02770">
              <w:rPr>
                <w:iCs/>
                <w:color w:val="000000"/>
              </w:rPr>
              <w:t>, 2021-05-31, paskelbta TAR 2021-05-31, i. k. 2021-12127</w:t>
            </w:r>
            <w:r w:rsidR="00162562">
              <w:rPr>
                <w:iCs/>
                <w:color w:val="000000"/>
              </w:rPr>
              <w:t>;</w:t>
            </w:r>
            <w:r w:rsidR="00162562" w:rsidRPr="00C02770">
              <w:rPr>
                <w:bCs/>
                <w:color w:val="333333"/>
                <w:shd w:val="clear" w:color="auto" w:fill="FFFFFF"/>
              </w:rPr>
              <w:t xml:space="preserve"> suvestinė redakcija 2022-01-11 - 2022-03-31</w:t>
            </w:r>
            <w:r w:rsidR="008C4672">
              <w:rPr>
                <w:bCs/>
                <w:color w:val="333333"/>
                <w:shd w:val="clear" w:color="auto" w:fill="FFFFFF"/>
              </w:rPr>
              <w:t xml:space="preserve"> bei suvestinė redakcija </w:t>
            </w:r>
            <w:r w:rsidR="008C4672" w:rsidRPr="00B51CBC">
              <w:rPr>
                <w:bCs/>
                <w:iCs/>
                <w:color w:val="000000"/>
                <w:sz w:val="22"/>
                <w:szCs w:val="22"/>
              </w:rPr>
              <w:t>nuo 2022-04-01</w:t>
            </w:r>
            <w:r w:rsidRPr="00C02770">
              <w:t>) (toliau – Vietos projektų administravimo taisyklės).</w:t>
            </w:r>
            <w:r w:rsidRPr="00C02770">
              <w:rPr>
                <w:sz w:val="22"/>
                <w:szCs w:val="22"/>
              </w:rPr>
              <w:t xml:space="preserve"> </w:t>
            </w:r>
            <w:r w:rsidRPr="009B5B1D">
              <w:rPr>
                <w:sz w:val="22"/>
                <w:szCs w:val="22"/>
              </w:rPr>
              <w:t>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162562">
            <w:pPr>
              <w:jc w:val="both"/>
              <w:rPr>
                <w:sz w:val="22"/>
                <w:szCs w:val="22"/>
              </w:rPr>
            </w:pPr>
            <w:r w:rsidRPr="00A120FC">
              <w:rPr>
                <w:sz w:val="22"/>
                <w:szCs w:val="22"/>
              </w:rPr>
              <w:t xml:space="preserve">VPS priemonės </w:t>
            </w:r>
            <w:r w:rsidR="001E48BE" w:rsidRPr="00A03695">
              <w:rPr>
                <w:rFonts w:eastAsia="TimesNewRoman"/>
                <w:lang w:eastAsia="en-US"/>
              </w:rPr>
              <w:t>„Pagrindinės paslaugos ir kaimų atnaujinimas kaimo vietovėse“ (kodas LEADER-19.2-7) veiklos sri</w:t>
            </w:r>
            <w:r w:rsidR="00162562">
              <w:rPr>
                <w:rFonts w:eastAsia="TimesNewRoman"/>
                <w:lang w:eastAsia="en-US"/>
              </w:rPr>
              <w:t>čiai</w:t>
            </w:r>
            <w:r w:rsidR="001E48BE" w:rsidRPr="00A03695">
              <w:rPr>
                <w:rFonts w:eastAsia="TimesNewRoman"/>
                <w:lang w:eastAsia="en-US"/>
              </w:rPr>
              <w:t xml:space="preserve">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05B86" w:rsidP="00736A88">
            <w:pPr>
              <w:jc w:val="center"/>
              <w:rPr>
                <w:sz w:val="22"/>
                <w:szCs w:val="22"/>
              </w:rPr>
            </w:pPr>
            <w:r>
              <w:rPr>
                <w:sz w:val="22"/>
                <w:szCs w:val="22"/>
              </w:rPr>
              <w:t>0</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A7277D" w:rsidP="00736A88">
            <w:pPr>
              <w:jc w:val="center"/>
              <w:rPr>
                <w:sz w:val="22"/>
                <w:szCs w:val="22"/>
              </w:rPr>
            </w:pPr>
            <w:r>
              <w:rPr>
                <w:sz w:val="22"/>
                <w:szCs w:val="22"/>
              </w:rPr>
              <w:t>1</w:t>
            </w:r>
          </w:p>
        </w:tc>
        <w:tc>
          <w:tcPr>
            <w:tcW w:w="971" w:type="dxa"/>
            <w:shd w:val="clear" w:color="auto" w:fill="auto"/>
            <w:vAlign w:val="center"/>
          </w:tcPr>
          <w:p w:rsidR="00BA472C" w:rsidRPr="00A120FC" w:rsidRDefault="00A7277D" w:rsidP="00736A88">
            <w:pPr>
              <w:jc w:val="center"/>
              <w:rPr>
                <w:sz w:val="22"/>
                <w:szCs w:val="22"/>
              </w:rPr>
            </w:pPr>
            <w:r>
              <w:rPr>
                <w:sz w:val="22"/>
                <w:szCs w:val="22"/>
              </w:rPr>
              <w:t>4</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A7277D" w:rsidP="00736A88">
            <w:pPr>
              <w:jc w:val="center"/>
              <w:rPr>
                <w:sz w:val="22"/>
                <w:szCs w:val="22"/>
              </w:rPr>
            </w:pPr>
            <w:r>
              <w:rPr>
                <w:sz w:val="22"/>
                <w:szCs w:val="22"/>
              </w:rPr>
              <w:t>0</w:t>
            </w:r>
          </w:p>
        </w:tc>
        <w:tc>
          <w:tcPr>
            <w:tcW w:w="404" w:type="dxa"/>
            <w:shd w:val="clear" w:color="auto" w:fill="auto"/>
            <w:vAlign w:val="center"/>
          </w:tcPr>
          <w:p w:rsidR="00BA472C" w:rsidRPr="00A120FC" w:rsidRDefault="00F85C46" w:rsidP="00736A88">
            <w:pPr>
              <w:jc w:val="center"/>
              <w:rPr>
                <w:sz w:val="22"/>
                <w:szCs w:val="22"/>
              </w:rPr>
            </w:pPr>
            <w:r>
              <w:rPr>
                <w:sz w:val="22"/>
                <w:szCs w:val="22"/>
              </w:rPr>
              <w:t>4</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F85C46" w:rsidP="00736A88">
            <w:pPr>
              <w:jc w:val="center"/>
              <w:rPr>
                <w:sz w:val="22"/>
                <w:szCs w:val="22"/>
              </w:rPr>
            </w:pPr>
            <w:r>
              <w:rPr>
                <w:sz w:val="22"/>
                <w:szCs w:val="22"/>
              </w:rPr>
              <w:t>1</w:t>
            </w:r>
          </w:p>
        </w:tc>
        <w:tc>
          <w:tcPr>
            <w:tcW w:w="971" w:type="dxa"/>
            <w:shd w:val="clear" w:color="auto" w:fill="auto"/>
            <w:vAlign w:val="center"/>
          </w:tcPr>
          <w:p w:rsidR="00BA472C" w:rsidRPr="00A120FC" w:rsidRDefault="00F85C46" w:rsidP="00736A88">
            <w:pPr>
              <w:jc w:val="center"/>
              <w:rPr>
                <w:sz w:val="22"/>
                <w:szCs w:val="22"/>
              </w:rPr>
            </w:pPr>
            <w:r>
              <w:rPr>
                <w:sz w:val="22"/>
                <w:szCs w:val="22"/>
              </w:rPr>
              <w:t>4</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894EB7" w:rsidRDefault="00735D59" w:rsidP="00736A88">
            <w:pPr>
              <w:jc w:val="center"/>
              <w:rPr>
                <w:sz w:val="22"/>
                <w:szCs w:val="22"/>
              </w:rPr>
            </w:pPr>
            <w:r>
              <w:rPr>
                <w:sz w:val="22"/>
                <w:szCs w:val="22"/>
              </w:rPr>
              <w:t>2</w:t>
            </w:r>
          </w:p>
        </w:tc>
        <w:tc>
          <w:tcPr>
            <w:tcW w:w="404" w:type="dxa"/>
            <w:vMerge w:val="restart"/>
            <w:shd w:val="clear" w:color="auto" w:fill="auto"/>
            <w:vAlign w:val="center"/>
          </w:tcPr>
          <w:p w:rsidR="00BA472C" w:rsidRPr="00540659" w:rsidRDefault="00735D59"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2</w:t>
            </w:r>
          </w:p>
        </w:tc>
        <w:tc>
          <w:tcPr>
            <w:tcW w:w="404" w:type="dxa"/>
            <w:vMerge w:val="restart"/>
            <w:shd w:val="clear" w:color="auto" w:fill="auto"/>
            <w:vAlign w:val="center"/>
          </w:tcPr>
          <w:p w:rsidR="00BA472C" w:rsidRPr="00A120FC" w:rsidRDefault="00A7277D" w:rsidP="00736A88">
            <w:pPr>
              <w:jc w:val="center"/>
              <w:rPr>
                <w:sz w:val="22"/>
                <w:szCs w:val="22"/>
              </w:rPr>
            </w:pPr>
            <w:r>
              <w:rPr>
                <w:sz w:val="22"/>
                <w:szCs w:val="22"/>
              </w:rPr>
              <w:t>2</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F85C46" w:rsidP="00736A88">
            <w:pPr>
              <w:jc w:val="center"/>
              <w:rPr>
                <w:sz w:val="22"/>
                <w:szCs w:val="22"/>
              </w:rPr>
            </w:pPr>
            <w:r>
              <w:rPr>
                <w:sz w:val="22"/>
                <w:szCs w:val="22"/>
              </w:rPr>
              <w:t>3</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E46FA9" w:rsidRDefault="00A45507" w:rsidP="00736A88">
            <w:pPr>
              <w:jc w:val="center"/>
              <w:rPr>
                <w:sz w:val="22"/>
                <w:szCs w:val="22"/>
              </w:rPr>
            </w:pPr>
            <w:r>
              <w:rPr>
                <w:sz w:val="22"/>
                <w:szCs w:val="22"/>
              </w:rPr>
              <w:t>2</w:t>
            </w:r>
          </w:p>
        </w:tc>
        <w:tc>
          <w:tcPr>
            <w:tcW w:w="404" w:type="dxa"/>
            <w:vMerge w:val="restart"/>
            <w:shd w:val="clear" w:color="auto" w:fill="auto"/>
            <w:vAlign w:val="center"/>
          </w:tcPr>
          <w:p w:rsidR="00BA472C" w:rsidRPr="00E46FA9" w:rsidRDefault="00F85C46" w:rsidP="00736A88">
            <w:pPr>
              <w:jc w:val="center"/>
              <w:rPr>
                <w:sz w:val="22"/>
                <w:szCs w:val="22"/>
              </w:rPr>
            </w:pPr>
            <w:r>
              <w:rPr>
                <w:sz w:val="22"/>
                <w:szCs w:val="22"/>
              </w:rPr>
              <w:t>5</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F85C46">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E46FA9" w:rsidRPr="00E46FA9">
              <w:rPr>
                <w:sz w:val="22"/>
                <w:szCs w:val="22"/>
              </w:rPr>
              <w:t>1</w:t>
            </w:r>
            <w:r w:rsidR="00F85C46">
              <w:rPr>
                <w:sz w:val="22"/>
                <w:szCs w:val="22"/>
              </w:rPr>
              <w:t>9</w:t>
            </w:r>
            <w:r w:rsidR="00732D13" w:rsidRPr="002F206C">
              <w:rPr>
                <w:sz w:val="22"/>
                <w:szCs w:val="22"/>
              </w:rPr>
              <w:t xml:space="preserve"> </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162562">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 xml:space="preserve">viešų pastatų ir viešų erdvių (išskyrus </w:t>
            </w:r>
            <w:r w:rsidR="00162562">
              <w:rPr>
                <w:rFonts w:eastAsia="TimesNewRoman"/>
              </w:rPr>
              <w:t xml:space="preserve">kultūros paveldo ir </w:t>
            </w:r>
            <w:r w:rsidRPr="00A03695">
              <w:rPr>
                <w:rFonts w:eastAsia="TimesNewRoman"/>
              </w:rPr>
              <w:t>sporto infrastruktūr</w:t>
            </w:r>
            <w:r w:rsidR="00162562">
              <w:rPr>
                <w:rFonts w:eastAsia="TimesNewRoman"/>
              </w:rPr>
              <w:t>ą</w:t>
            </w:r>
            <w:r w:rsidRPr="00A03695">
              <w:rPr>
                <w:rFonts w:eastAsia="TimesNewRoman"/>
              </w:rPr>
              <w:t>),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 xml:space="preserve">teritorijoje registruoti ir veiklą </w:t>
            </w:r>
            <w:r w:rsidR="00CA59C2" w:rsidRPr="00CA59C2">
              <w:rPr>
                <w:sz w:val="22"/>
                <w:szCs w:val="22"/>
              </w:rPr>
              <w:lastRenderedPageBreak/>
              <w:t>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lastRenderedPageBreak/>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0C1CF8" w:rsidP="00CB49E2">
            <w:pPr>
              <w:jc w:val="both"/>
              <w:rPr>
                <w:b/>
                <w:i/>
                <w:sz w:val="22"/>
                <w:szCs w:val="22"/>
              </w:rPr>
            </w:pPr>
            <w:r w:rsidRPr="00CB49E2">
              <w:rPr>
                <w:sz w:val="22"/>
              </w:rPr>
              <w:t>6</w:t>
            </w:r>
            <w:r w:rsidR="00CB49E2">
              <w:rPr>
                <w:sz w:val="22"/>
              </w:rPr>
              <w:t>0</w:t>
            </w:r>
            <w:r w:rsidRPr="00CB49E2">
              <w:rPr>
                <w:sz w:val="22"/>
              </w:rPr>
              <w:t xml:space="preserve"> </w:t>
            </w:r>
            <w:r w:rsidR="00CB49E2" w:rsidRPr="00CB49E2">
              <w:rPr>
                <w:sz w:val="22"/>
              </w:rPr>
              <w:t>900</w:t>
            </w:r>
            <w:r w:rsidRPr="00CB49E2">
              <w:rPr>
                <w:sz w:val="22"/>
              </w:rPr>
              <w:t>,00</w:t>
            </w:r>
            <w:r w:rsidR="004C3564" w:rsidRPr="00CB49E2">
              <w:rPr>
                <w:sz w:val="22"/>
              </w:rPr>
              <w:t xml:space="preserve"> </w:t>
            </w:r>
            <w:proofErr w:type="spellStart"/>
            <w:r w:rsidR="00CA59C2" w:rsidRPr="00CB49E2">
              <w:rPr>
                <w:sz w:val="22"/>
              </w:rPr>
              <w:t>Eur</w:t>
            </w:r>
            <w:proofErr w:type="spellEnd"/>
            <w:r w:rsidR="00CA59C2" w:rsidRPr="00CA59C2">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0C1CF8" w:rsidP="001E48BE">
            <w:pPr>
              <w:jc w:val="both"/>
              <w:rPr>
                <w:b/>
                <w:i/>
                <w:sz w:val="22"/>
                <w:szCs w:val="22"/>
              </w:rPr>
            </w:pPr>
            <w:r>
              <w:rPr>
                <w:sz w:val="22"/>
              </w:rPr>
              <w:t>16 052,00</w:t>
            </w:r>
            <w:r w:rsidR="00CA59C2" w:rsidRPr="00CA59C2">
              <w:rPr>
                <w:sz w:val="22"/>
              </w:rPr>
              <w:t xml:space="preserve"> </w:t>
            </w:r>
            <w:proofErr w:type="spellStart"/>
            <w:r w:rsidR="00CA59C2" w:rsidRPr="00CA59C2">
              <w:rPr>
                <w:sz w:val="22"/>
              </w:rPr>
              <w:t>Eur</w:t>
            </w:r>
            <w:proofErr w:type="spellEnd"/>
            <w:r w:rsidR="00CA59C2" w:rsidRPr="00CA59C2">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„Vietos projekto atitiktis vietos projektų atrankos kriterijams“  pateiktą informaciją  bei  prie   vietos </w:t>
            </w:r>
            <w:r w:rsidRPr="00F209AA">
              <w:rPr>
                <w:sz w:val="22"/>
              </w:rPr>
              <w:lastRenderedPageBreak/>
              <w:t>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Šis 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Paramos lyginamoji dalis, proc</w:t>
            </w:r>
            <w:r w:rsidR="004C3564" w:rsidRPr="004C3564">
              <w:rPr>
                <w:sz w:val="22"/>
                <w:szCs w:val="22"/>
              </w:rPr>
              <w:t>.</w:t>
            </w:r>
            <w:r w:rsidR="00B05B86" w:rsidRPr="004C3564">
              <w:rPr>
                <w:sz w:val="22"/>
              </w:rPr>
              <w:t xml:space="preserve">“ </w:t>
            </w:r>
            <w:r w:rsidRPr="004C3564">
              <w:rPr>
                <w:sz w:val="22"/>
              </w:rPr>
              <w:t xml:space="preserve">pagrindimą ir (arba) remiantis kartu 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lastRenderedPageBreak/>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F03784">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w:t>
            </w:r>
            <w:r w:rsidR="003E16B4">
              <w:rPr>
                <w:color w:val="000000"/>
              </w:rPr>
              <w:lastRenderedPageBreak/>
              <w:t>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 xml:space="preserve">aujų įrenginių ir (arba) </w:t>
            </w:r>
            <w:r w:rsidRPr="00B21F01">
              <w:rPr>
                <w:b/>
              </w:rPr>
              <w:lastRenderedPageBreak/>
              <w:t>įrangos, skirtų projekto 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lastRenderedPageBreak/>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973A5" w:rsidP="001C7D3E">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sidR="00A34FB5">
              <w:rPr>
                <w:rFonts w:eastAsia="Calibri"/>
                <w:b/>
                <w:sz w:val="22"/>
              </w:rPr>
              <w:t>5</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9973A5" w:rsidRPr="009973A5" w:rsidRDefault="009973A5" w:rsidP="009973A5">
            <w:pPr>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 xml:space="preserve">Atlyginimas architektams, inžinieriams, konsultantams už </w:t>
            </w:r>
            <w:r w:rsidRPr="005C06B5">
              <w:rPr>
                <w:color w:val="000000"/>
              </w:rPr>
              <w:lastRenderedPageBreak/>
              <w:t>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w:t>
            </w:r>
            <w:r w:rsidRPr="002B15FE">
              <w:rPr>
                <w:rFonts w:eastAsia="Calibri"/>
                <w:sz w:val="22"/>
                <w:szCs w:val="22"/>
              </w:rPr>
              <w:lastRenderedPageBreak/>
              <w:t xml:space="preserve">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w:t>
            </w:r>
            <w:r w:rsidRPr="002B15FE">
              <w:rPr>
                <w:rFonts w:eastAsia="Calibri"/>
                <w:sz w:val="22"/>
                <w:szCs w:val="22"/>
              </w:rPr>
              <w:lastRenderedPageBreak/>
              <w:t xml:space="preserve">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lastRenderedPageBreak/>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lastRenderedPageBreak/>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Pr="00E87510"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t xml:space="preserve">(Pateikiamas paaiškinimas, kaip </w:t>
            </w:r>
            <w:r w:rsidRPr="00A120FC">
              <w:rPr>
                <w:b/>
                <w:sz w:val="22"/>
                <w:szCs w:val="22"/>
              </w:rPr>
              <w:t xml:space="preserve">vietos projekto paraiškos </w:t>
            </w:r>
            <w:r w:rsidRPr="00A120FC">
              <w:rPr>
                <w:b/>
                <w:sz w:val="22"/>
                <w:szCs w:val="22"/>
              </w:rPr>
              <w:lastRenderedPageBreak/>
              <w:t>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lastRenderedPageBreak/>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4.3.2.1.2.</w:t>
            </w:r>
          </w:p>
        </w:tc>
        <w:tc>
          <w:tcPr>
            <w:tcW w:w="13975" w:type="dxa"/>
            <w:gridSpan w:val="3"/>
            <w:shd w:val="clear" w:color="auto" w:fill="auto"/>
          </w:tcPr>
          <w:p w:rsidR="00404CC9" w:rsidRPr="00404CC9" w:rsidRDefault="00404CC9" w:rsidP="003E16B4">
            <w:pPr>
              <w:jc w:val="both"/>
              <w:rPr>
                <w:sz w:val="22"/>
                <w:szCs w:val="22"/>
              </w:rPr>
            </w:pPr>
            <w:r w:rsidRPr="00404CC9">
              <w:rPr>
                <w:sz w:val="22"/>
                <w:szCs w:val="22"/>
              </w:rPr>
              <w:t xml:space="preserve">įgyvendinti </w:t>
            </w:r>
            <w:r w:rsidRPr="003E16B4">
              <w:rPr>
                <w:sz w:val="22"/>
                <w:szCs w:val="22"/>
              </w:rPr>
              <w:t>projektą per 36 (trisdešimt šešis) mėnesius nuo paramos sutarties pasirašymo dienos</w:t>
            </w:r>
            <w:r w:rsidR="0070383C" w:rsidRPr="003E16B4">
              <w:rPr>
                <w:sz w:val="22"/>
                <w:szCs w:val="22"/>
              </w:rPr>
              <w:t>, tačiau ne vėliau kaip iki vietos plėtros strategijos įgyvendinimo pabaigos - 202</w:t>
            </w:r>
            <w:r w:rsidR="003E16B4" w:rsidRPr="003E16B4">
              <w:rPr>
                <w:sz w:val="22"/>
                <w:szCs w:val="22"/>
              </w:rPr>
              <w:t xml:space="preserve">5 m. liepos </w:t>
            </w:r>
            <w:r w:rsidR="0070383C" w:rsidRPr="003E16B4">
              <w:rPr>
                <w:sz w:val="22"/>
                <w:szCs w:val="22"/>
              </w:rPr>
              <w:t>1 d.</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1D0829"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1D0829"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1D0829"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lastRenderedPageBreak/>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w:t>
            </w:r>
            <w:r w:rsidRPr="004E2729">
              <w:rPr>
                <w:rFonts w:ascii="Times New Roman" w:hAnsi="Times New Roman" w:cs="Times New Roman"/>
                <w:color w:val="000000"/>
                <w:sz w:val="22"/>
                <w:szCs w:val="22"/>
                <w:lang w:val="lt-LT"/>
              </w:rPr>
              <w:lastRenderedPageBreak/>
              <w:t>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 xml:space="preserve">Dokumentai, kuriais įrodoma, kad tinkamas vietos projekto partneris turi pakankamai nuosavų lėšų prisidėti prie vietos projekto </w:t>
            </w:r>
            <w:r w:rsidR="004A22D9" w:rsidRPr="006D46CB">
              <w:rPr>
                <w:rFonts w:ascii="Times New Roman" w:hAnsi="Times New Roman" w:cs="Times New Roman"/>
                <w:sz w:val="22"/>
                <w:szCs w:val="22"/>
                <w:lang w:val="lt-LT"/>
              </w:rPr>
              <w:lastRenderedPageBreak/>
              <w:t>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 xml:space="preserve">Vietos projekto finansavimo šaltinis ir suma, </w:t>
            </w:r>
            <w:proofErr w:type="spellStart"/>
            <w:r w:rsidR="00D45C33"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 xml:space="preserve">Vietos projekto finansavimo šaltinis ir suma, </w:t>
            </w:r>
            <w:proofErr w:type="spellStart"/>
            <w:r w:rsidR="00EA2186"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 xml:space="preserve">Vietos projekto finansavimo šaltinis ir suma, </w:t>
            </w:r>
            <w:proofErr w:type="spellStart"/>
            <w:r w:rsidR="002A6572"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 xml:space="preserve">artimiesiems </w:t>
            </w:r>
            <w:r w:rsidR="00F724C2" w:rsidRPr="00A120FC">
              <w:rPr>
                <w:rFonts w:ascii="Times New Roman" w:hAnsi="Times New Roman" w:cs="Times New Roman"/>
                <w:sz w:val="22"/>
                <w:szCs w:val="22"/>
                <w:lang w:val="lt-LT"/>
              </w:rPr>
              <w:lastRenderedPageBreak/>
              <w:t>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1C7D3E" w:rsidRDefault="004E2729" w:rsidP="004E2729">
            <w:pPr>
              <w:pStyle w:val="BodyText10"/>
              <w:ind w:firstLine="0"/>
              <w:rPr>
                <w:color w:val="000000"/>
                <w:sz w:val="22"/>
                <w:szCs w:val="22"/>
                <w:lang w:val="lt-LT"/>
              </w:rPr>
            </w:pPr>
            <w:r w:rsidRPr="004E2729">
              <w:rPr>
                <w:color w:val="000000"/>
                <w:sz w:val="22"/>
                <w:szCs w:val="22"/>
                <w:lang w:val="lt-LT"/>
              </w:rPr>
              <w:t>8.2.  Kartu su  vietos projekto paraiška pateikiama CD arba kitos formos elektroninių dokumentų laikmena, kurioje įrašyta paraiška Word formatu.</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838" w:rsidRDefault="00977838" w:rsidP="0056536E">
      <w:r>
        <w:separator/>
      </w:r>
    </w:p>
  </w:endnote>
  <w:endnote w:type="continuationSeparator" w:id="0">
    <w:p w:rsidR="00977838" w:rsidRDefault="00977838"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Default="001D0829">
    <w:pPr>
      <w:pStyle w:val="Porat"/>
      <w:framePr w:wrap="around" w:vAnchor="text" w:hAnchor="margin" w:xAlign="center" w:y="1"/>
      <w:rPr>
        <w:rStyle w:val="Puslapionumeris"/>
      </w:rPr>
    </w:pPr>
    <w:r>
      <w:rPr>
        <w:rStyle w:val="Puslapionumeris"/>
      </w:rPr>
      <w:fldChar w:fldCharType="begin"/>
    </w:r>
    <w:r w:rsidR="00E87510">
      <w:rPr>
        <w:rStyle w:val="Puslapionumeris"/>
      </w:rPr>
      <w:instrText xml:space="preserve">PAGE  </w:instrText>
    </w:r>
    <w:r>
      <w:rPr>
        <w:rStyle w:val="Puslapionumeris"/>
      </w:rPr>
      <w:fldChar w:fldCharType="separate"/>
    </w:r>
    <w:r w:rsidR="00E87510">
      <w:rPr>
        <w:rStyle w:val="Puslapionumeris"/>
        <w:noProof/>
      </w:rPr>
      <w:t>4</w:t>
    </w:r>
    <w:r>
      <w:rPr>
        <w:rStyle w:val="Puslapionumeris"/>
      </w:rPr>
      <w:fldChar w:fldCharType="end"/>
    </w:r>
  </w:p>
  <w:p w:rsidR="00E87510" w:rsidRDefault="00E87510">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Default="00E87510">
    <w:pPr>
      <w:pStyle w:val="Porat"/>
      <w:framePr w:wrap="around" w:vAnchor="text" w:hAnchor="margin" w:xAlign="right" w:y="1"/>
      <w:rPr>
        <w:rStyle w:val="Puslapionumeris"/>
      </w:rPr>
    </w:pPr>
  </w:p>
  <w:p w:rsidR="00E87510" w:rsidRDefault="00E87510"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Pr="00875792" w:rsidRDefault="00E87510"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838" w:rsidRDefault="00977838" w:rsidP="0056536E">
      <w:r>
        <w:separator/>
      </w:r>
    </w:p>
  </w:footnote>
  <w:footnote w:type="continuationSeparator" w:id="0">
    <w:p w:rsidR="00977838" w:rsidRDefault="00977838"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Default="001D0829">
    <w:pPr>
      <w:pStyle w:val="Antrats"/>
      <w:framePr w:wrap="around" w:vAnchor="text" w:hAnchor="margin" w:xAlign="center" w:y="1"/>
      <w:rPr>
        <w:rStyle w:val="Puslapionumeris"/>
      </w:rPr>
    </w:pPr>
    <w:r>
      <w:rPr>
        <w:rStyle w:val="Puslapionumeris"/>
      </w:rPr>
      <w:fldChar w:fldCharType="begin"/>
    </w:r>
    <w:r w:rsidR="00E87510">
      <w:rPr>
        <w:rStyle w:val="Puslapionumeris"/>
      </w:rPr>
      <w:instrText xml:space="preserve">PAGE  </w:instrText>
    </w:r>
    <w:r>
      <w:rPr>
        <w:rStyle w:val="Puslapionumeris"/>
      </w:rPr>
      <w:fldChar w:fldCharType="separate"/>
    </w:r>
    <w:r w:rsidR="00E87510">
      <w:rPr>
        <w:rStyle w:val="Puslapionumeris"/>
        <w:noProof/>
      </w:rPr>
      <w:t>4</w:t>
    </w:r>
    <w:r>
      <w:rPr>
        <w:rStyle w:val="Puslapionumeris"/>
      </w:rPr>
      <w:fldChar w:fldCharType="end"/>
    </w:r>
  </w:p>
  <w:p w:rsidR="00E87510" w:rsidRDefault="00E87510">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Default="001D0829">
    <w:pPr>
      <w:pStyle w:val="Antrats"/>
      <w:jc w:val="center"/>
    </w:pPr>
    <w:fldSimple w:instr="PAGE   \* MERGEFORMAT">
      <w:r w:rsidR="008C4672">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Default="00E87510">
    <w:pPr>
      <w:pStyle w:val="Antrats"/>
      <w:jc w:val="center"/>
    </w:pPr>
  </w:p>
  <w:p w:rsidR="00E87510" w:rsidRDefault="00E87510">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69634"/>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53"/>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29"/>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672"/>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38"/>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0C"/>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46"/>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13"/>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cc344880c1d711eba2bad9a0748ee64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4235-3BD9-440B-B69C-2B9F8754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17</Pages>
  <Words>36146</Words>
  <Characters>20604</Characters>
  <Application>Microsoft Office Word</Application>
  <DocSecurity>0</DocSecurity>
  <Lines>171</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56637</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43</cp:revision>
  <cp:lastPrinted>2022-01-23T16:37:00Z</cp:lastPrinted>
  <dcterms:created xsi:type="dcterms:W3CDTF">2018-05-09T10:16:00Z</dcterms:created>
  <dcterms:modified xsi:type="dcterms:W3CDTF">2022-03-23T19:03:00Z</dcterms:modified>
</cp:coreProperties>
</file>