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CA06BB" w:rsidRDefault="005359CB" w:rsidP="005359CB">
      <w:pPr>
        <w:tabs>
          <w:tab w:val="left" w:pos="5670"/>
          <w:tab w:val="left" w:pos="6237"/>
          <w:tab w:val="left" w:pos="6521"/>
        </w:tabs>
        <w:ind w:left="12"/>
      </w:pPr>
      <w:r w:rsidRPr="00F24503">
        <w:t xml:space="preserve">                                                                                                                                                                                 </w:t>
      </w:r>
      <w:r w:rsidRPr="00CA06BB">
        <w:t>20</w:t>
      </w:r>
      <w:r w:rsidR="00B05B86" w:rsidRPr="00CA06BB">
        <w:t>2</w:t>
      </w:r>
      <w:r w:rsidR="00A7277D" w:rsidRPr="00CA06BB">
        <w:t xml:space="preserve">2 </w:t>
      </w:r>
      <w:r w:rsidR="00A73BE4">
        <w:t xml:space="preserve">m. </w:t>
      </w:r>
      <w:r w:rsidR="00B57909">
        <w:t xml:space="preserve">lapkričio 10 </w:t>
      </w:r>
      <w:r w:rsidR="00A73BE4">
        <w:t xml:space="preserve"> </w:t>
      </w:r>
      <w:r w:rsidRPr="00CA06BB">
        <w:t xml:space="preserve">d. valdybos </w:t>
      </w:r>
    </w:p>
    <w:p w:rsidR="005359CB" w:rsidRPr="00CA06BB" w:rsidRDefault="005359CB" w:rsidP="005359CB">
      <w:pPr>
        <w:tabs>
          <w:tab w:val="left" w:pos="5670"/>
          <w:tab w:val="left" w:pos="6237"/>
          <w:tab w:val="left" w:pos="6521"/>
        </w:tabs>
        <w:ind w:left="12"/>
      </w:pPr>
      <w:r w:rsidRPr="00CA06BB">
        <w:t xml:space="preserve">                                                                                                                                                                                 rašytinio sprendimo priėmimo </w:t>
      </w:r>
    </w:p>
    <w:p w:rsidR="005359CB" w:rsidRPr="005C06B5" w:rsidRDefault="005359CB" w:rsidP="005359CB">
      <w:pPr>
        <w:tabs>
          <w:tab w:val="left" w:pos="5245"/>
        </w:tabs>
      </w:pPr>
      <w:r w:rsidRPr="00CA06BB">
        <w:t xml:space="preserve">                                                                                                                                                                          </w:t>
      </w:r>
      <w:r w:rsidR="00A73BE4">
        <w:t xml:space="preserve">       procedūros protokolu  Nr.2</w:t>
      </w:r>
      <w:r w:rsidR="00B57909">
        <w:t>5</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B57909">
        <w:rPr>
          <w:sz w:val="24"/>
          <w:szCs w:val="24"/>
          <w:lang w:val="lt-LT"/>
        </w:rPr>
        <w:t>5</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7909" w:rsidRDefault="001E48BE" w:rsidP="00B57909">
            <w:pPr>
              <w:rPr>
                <w:b/>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Pr="00B51CBC">
              <w:rPr>
                <w:sz w:val="22"/>
                <w:szCs w:val="22"/>
              </w:rPr>
              <w:t xml:space="preserve">2016 m. rugsėjo 21 d. įsakymu Nr. 3D-544 „Dėl Vietos projektų, įgyvendinamų bendruomenių inicijuotos vietos plėtros būdu, administravimo taisyklių patvirtinimo“ </w:t>
            </w:r>
            <w:r w:rsidR="00B57909">
              <w:t xml:space="preserve">(nauja redakcija nuo 2021-06-01 </w:t>
            </w:r>
            <w:r w:rsidR="00B57909" w:rsidRPr="00CB0877">
              <w:t xml:space="preserve">Nr. </w:t>
            </w:r>
            <w:hyperlink r:id="rId13" w:history="1">
              <w:r w:rsidR="00B57909" w:rsidRPr="00CB0877">
                <w:rPr>
                  <w:rFonts w:eastAsia="MS Mincho"/>
                  <w:iCs/>
                  <w:color w:val="0000FF"/>
                  <w:u w:val="single"/>
                </w:rPr>
                <w:t>3D-352</w:t>
              </w:r>
            </w:hyperlink>
            <w:r w:rsidR="00B57909" w:rsidRPr="00CB0877">
              <w:rPr>
                <w:rFonts w:eastAsia="MS Mincho"/>
                <w:iCs/>
              </w:rPr>
              <w:t>, 2021-05-31, paskelbta TAR 2021-05-31, i. k. 2021-12127</w:t>
            </w:r>
            <w:r w:rsidR="00B57909">
              <w:rPr>
                <w:rFonts w:eastAsia="MS Mincho"/>
                <w:iCs/>
              </w:rPr>
              <w:t>),</w:t>
            </w:r>
            <w:r w:rsidR="00B57909" w:rsidRPr="00CB0877">
              <w:t xml:space="preserve"> (</w:t>
            </w:r>
            <w:r w:rsidR="00B57909" w:rsidRPr="00CB0877">
              <w:rPr>
                <w:bCs/>
                <w:color w:val="333333"/>
                <w:shd w:val="clear" w:color="auto" w:fill="FFFFFF"/>
              </w:rPr>
              <w:t xml:space="preserve">suvestinė redakcija nuo  </w:t>
            </w:r>
            <w:r w:rsidR="00B57909" w:rsidRPr="00CB0877">
              <w:rPr>
                <w:bdr w:val="none" w:sz="0" w:space="0" w:color="auto" w:frame="1"/>
                <w:shd w:val="clear" w:color="auto" w:fill="FFFFFF"/>
              </w:rPr>
              <w:t xml:space="preserve">2022-09-01  Lietuvos Respublikos Žemės ūkio  ministro įsakymas </w:t>
            </w:r>
            <w:r w:rsidR="00B57909" w:rsidRPr="00CB0877">
              <w:t xml:space="preserve"> </w:t>
            </w:r>
            <w:r w:rsidR="00B57909" w:rsidRPr="00CB0877">
              <w:rPr>
                <w:color w:val="000000"/>
              </w:rPr>
              <w:t>2022 m. rugpjūčio 31 d. Nr. 3D-521</w:t>
            </w:r>
            <w:r w:rsidR="00B57909" w:rsidRPr="00CB0877">
              <w:rPr>
                <w:bCs/>
                <w:color w:val="333333"/>
                <w:shd w:val="clear" w:color="auto" w:fill="FFFFFF"/>
              </w:rPr>
              <w:t>)</w:t>
            </w:r>
            <w:r w:rsidR="00B57909" w:rsidRPr="00863C01">
              <w:t xml:space="preserve"> </w:t>
            </w:r>
            <w:r w:rsidRPr="00C02770">
              <w:t>(toliau – Vietos projektų administravimo taisyklės).</w:t>
            </w:r>
            <w:r w:rsidRPr="00C02770">
              <w:rPr>
                <w:sz w:val="22"/>
                <w:szCs w:val="22"/>
              </w:rPr>
              <w:t xml:space="preserve"> </w:t>
            </w:r>
            <w:r w:rsidRPr="009B5B1D">
              <w:rPr>
                <w:sz w:val="22"/>
                <w:szCs w:val="22"/>
              </w:rPr>
              <w:t xml:space="preserve">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w:t>
            </w:r>
            <w:r w:rsidRPr="009B5B1D">
              <w:rPr>
                <w:sz w:val="22"/>
                <w:szCs w:val="22"/>
              </w:rPr>
              <w:lastRenderedPageBreak/>
              <w:t>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CD466A">
            <w:pPr>
              <w:jc w:val="both"/>
              <w:rPr>
                <w:sz w:val="22"/>
                <w:szCs w:val="22"/>
                <w:highlight w:val="yellow"/>
              </w:rPr>
            </w:pPr>
            <w:bookmarkStart w:id="0" w:name="_Hlk96390669"/>
            <w:r w:rsidRPr="006B1BE7">
              <w:rPr>
                <w:sz w:val="22"/>
                <w:szCs w:val="22"/>
              </w:rPr>
              <w:t>VPS priemon</w:t>
            </w:r>
            <w:r w:rsidR="00CD466A">
              <w:rPr>
                <w:sz w:val="22"/>
                <w:szCs w:val="22"/>
              </w:rPr>
              <w:t>ei</w:t>
            </w:r>
            <w:r w:rsidRPr="006B1BE7">
              <w:rPr>
                <w:sz w:val="22"/>
                <w:szCs w:val="22"/>
              </w:rPr>
              <w:t xml:space="preserve">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57909" w:rsidP="00736A88">
            <w:pPr>
              <w:jc w:val="center"/>
              <w:rPr>
                <w:sz w:val="22"/>
                <w:szCs w:val="22"/>
              </w:rPr>
            </w:pPr>
            <w:r>
              <w:rPr>
                <w:sz w:val="22"/>
                <w:szCs w:val="22"/>
              </w:rPr>
              <w:t>1</w:t>
            </w:r>
          </w:p>
        </w:tc>
        <w:tc>
          <w:tcPr>
            <w:tcW w:w="404" w:type="dxa"/>
            <w:shd w:val="clear" w:color="auto" w:fill="auto"/>
            <w:vAlign w:val="center"/>
          </w:tcPr>
          <w:p w:rsidR="00BA472C" w:rsidRPr="00A120FC" w:rsidRDefault="00B57909"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57909" w:rsidP="00736A88">
            <w:pPr>
              <w:jc w:val="center"/>
              <w:rPr>
                <w:sz w:val="22"/>
                <w:szCs w:val="22"/>
              </w:rPr>
            </w:pPr>
            <w:r>
              <w:rPr>
                <w:sz w:val="22"/>
                <w:szCs w:val="22"/>
              </w:rPr>
              <w:t>0</w:t>
            </w:r>
          </w:p>
        </w:tc>
        <w:tc>
          <w:tcPr>
            <w:tcW w:w="971" w:type="dxa"/>
            <w:shd w:val="clear" w:color="auto" w:fill="auto"/>
            <w:vAlign w:val="center"/>
          </w:tcPr>
          <w:p w:rsidR="00BA472C" w:rsidRPr="00A120FC" w:rsidRDefault="00D46DDF" w:rsidP="00736A88">
            <w:pPr>
              <w:jc w:val="center"/>
              <w:rPr>
                <w:sz w:val="22"/>
                <w:szCs w:val="22"/>
              </w:rPr>
            </w:pPr>
            <w:r>
              <w:rPr>
                <w:sz w:val="22"/>
                <w:szCs w:val="22"/>
              </w:rPr>
              <w:t>2</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B57909" w:rsidP="00736A88">
            <w:pPr>
              <w:jc w:val="center"/>
              <w:rPr>
                <w:sz w:val="22"/>
                <w:szCs w:val="22"/>
              </w:rPr>
            </w:pPr>
            <w:r>
              <w:rPr>
                <w:sz w:val="22"/>
                <w:szCs w:val="22"/>
              </w:rPr>
              <w:t>3</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57909" w:rsidP="00736A88">
            <w:pPr>
              <w:jc w:val="center"/>
              <w:rPr>
                <w:sz w:val="22"/>
                <w:szCs w:val="22"/>
              </w:rPr>
            </w:pPr>
            <w:r>
              <w:rPr>
                <w:sz w:val="22"/>
                <w:szCs w:val="22"/>
              </w:rPr>
              <w:t>0</w:t>
            </w:r>
          </w:p>
        </w:tc>
        <w:tc>
          <w:tcPr>
            <w:tcW w:w="404" w:type="dxa"/>
            <w:shd w:val="clear" w:color="auto" w:fill="auto"/>
            <w:vAlign w:val="center"/>
          </w:tcPr>
          <w:p w:rsidR="00BA472C" w:rsidRPr="00A120FC" w:rsidRDefault="00B57909"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57909" w:rsidP="00736A88">
            <w:pPr>
              <w:jc w:val="center"/>
              <w:rPr>
                <w:sz w:val="22"/>
                <w:szCs w:val="22"/>
              </w:rPr>
            </w:pPr>
            <w:r>
              <w:rPr>
                <w:sz w:val="22"/>
                <w:szCs w:val="22"/>
              </w:rPr>
              <w:t>0</w:t>
            </w:r>
          </w:p>
        </w:tc>
        <w:tc>
          <w:tcPr>
            <w:tcW w:w="971" w:type="dxa"/>
            <w:shd w:val="clear" w:color="auto" w:fill="auto"/>
            <w:vAlign w:val="center"/>
          </w:tcPr>
          <w:p w:rsidR="00BA472C" w:rsidRPr="00A120FC" w:rsidRDefault="00D46DDF" w:rsidP="00736A88">
            <w:pPr>
              <w:jc w:val="center"/>
              <w:rPr>
                <w:sz w:val="22"/>
                <w:szCs w:val="22"/>
              </w:rPr>
            </w:pPr>
            <w:r>
              <w:rPr>
                <w:sz w:val="22"/>
                <w:szCs w:val="22"/>
              </w:rPr>
              <w:t>2</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A73BE4" w:rsidRDefault="00735D59"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735D59" w:rsidP="00736A88">
            <w:pPr>
              <w:jc w:val="center"/>
              <w:rPr>
                <w:sz w:val="22"/>
                <w:szCs w:val="22"/>
              </w:rPr>
            </w:pPr>
            <w:r w:rsidRPr="00A73BE4">
              <w:rPr>
                <w:sz w:val="22"/>
                <w:szCs w:val="22"/>
              </w:rPr>
              <w:t>0</w:t>
            </w:r>
          </w:p>
        </w:tc>
        <w:tc>
          <w:tcPr>
            <w:tcW w:w="404" w:type="dxa"/>
            <w:vMerge w:val="restart"/>
            <w:shd w:val="clear" w:color="auto" w:fill="auto"/>
            <w:vAlign w:val="center"/>
          </w:tcPr>
          <w:p w:rsidR="00BA472C" w:rsidRPr="00A73BE4" w:rsidRDefault="00B05B86"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A7277D" w:rsidP="00736A88">
            <w:pPr>
              <w:jc w:val="center"/>
              <w:rPr>
                <w:sz w:val="22"/>
                <w:szCs w:val="22"/>
              </w:rPr>
            </w:pPr>
            <w:r w:rsidRPr="00A73BE4">
              <w:rPr>
                <w:sz w:val="22"/>
                <w:szCs w:val="22"/>
              </w:rPr>
              <w:t>2</w:t>
            </w:r>
          </w:p>
        </w:tc>
        <w:tc>
          <w:tcPr>
            <w:tcW w:w="404" w:type="dxa"/>
            <w:vMerge w:val="restart"/>
            <w:shd w:val="clear" w:color="auto" w:fill="auto"/>
            <w:vAlign w:val="center"/>
          </w:tcPr>
          <w:p w:rsidR="00BA472C" w:rsidRPr="00A73BE4" w:rsidRDefault="00BA472C" w:rsidP="00736A88">
            <w:pPr>
              <w:jc w:val="center"/>
              <w:rPr>
                <w:sz w:val="22"/>
                <w:szCs w:val="22"/>
              </w:rPr>
            </w:pPr>
            <w:r w:rsidRPr="00A73BE4">
              <w:rPr>
                <w:sz w:val="22"/>
                <w:szCs w:val="22"/>
              </w:rPr>
              <w:t>-</w:t>
            </w:r>
          </w:p>
        </w:tc>
        <w:tc>
          <w:tcPr>
            <w:tcW w:w="404" w:type="dxa"/>
            <w:vMerge w:val="restart"/>
            <w:shd w:val="clear" w:color="auto" w:fill="auto"/>
            <w:vAlign w:val="center"/>
          </w:tcPr>
          <w:p w:rsidR="00BA472C" w:rsidRPr="00A73BE4" w:rsidRDefault="00B57909" w:rsidP="00736A88">
            <w:pPr>
              <w:jc w:val="center"/>
              <w:rPr>
                <w:sz w:val="22"/>
                <w:szCs w:val="22"/>
              </w:rPr>
            </w:pPr>
            <w:r>
              <w:rPr>
                <w:sz w:val="22"/>
                <w:szCs w:val="22"/>
              </w:rPr>
              <w:t>1</w:t>
            </w:r>
          </w:p>
        </w:tc>
        <w:tc>
          <w:tcPr>
            <w:tcW w:w="404" w:type="dxa"/>
            <w:vMerge w:val="restart"/>
            <w:shd w:val="clear" w:color="auto" w:fill="auto"/>
            <w:vAlign w:val="center"/>
          </w:tcPr>
          <w:p w:rsidR="00BA472C" w:rsidRPr="00A73BE4" w:rsidRDefault="00B57909" w:rsidP="00736A88">
            <w:pPr>
              <w:jc w:val="center"/>
              <w:rPr>
                <w:sz w:val="22"/>
                <w:szCs w:val="22"/>
              </w:rPr>
            </w:pPr>
            <w:r>
              <w:rPr>
                <w:sz w:val="22"/>
                <w:szCs w:val="22"/>
              </w:rPr>
              <w:t>1</w:t>
            </w:r>
          </w:p>
        </w:tc>
        <w:tc>
          <w:tcPr>
            <w:tcW w:w="404" w:type="dxa"/>
            <w:vMerge w:val="restart"/>
            <w:shd w:val="clear" w:color="auto" w:fill="auto"/>
            <w:vAlign w:val="center"/>
          </w:tcPr>
          <w:p w:rsidR="00BA472C" w:rsidRPr="00A73BE4" w:rsidRDefault="00BA472C" w:rsidP="00736A88">
            <w:pPr>
              <w:jc w:val="center"/>
              <w:rPr>
                <w:sz w:val="22"/>
                <w:szCs w:val="22"/>
              </w:rPr>
            </w:pPr>
            <w:r w:rsidRPr="00A73BE4">
              <w:rPr>
                <w:sz w:val="22"/>
                <w:szCs w:val="22"/>
              </w:rPr>
              <w:t>-</w:t>
            </w:r>
          </w:p>
        </w:tc>
        <w:tc>
          <w:tcPr>
            <w:tcW w:w="404" w:type="dxa"/>
            <w:vMerge w:val="restart"/>
            <w:shd w:val="clear" w:color="auto" w:fill="auto"/>
            <w:vAlign w:val="center"/>
          </w:tcPr>
          <w:p w:rsidR="00BA472C" w:rsidRPr="00A73BE4" w:rsidRDefault="00B57909" w:rsidP="00736A88">
            <w:pPr>
              <w:jc w:val="center"/>
              <w:rPr>
                <w:sz w:val="22"/>
                <w:szCs w:val="22"/>
              </w:rPr>
            </w:pPr>
            <w:r>
              <w:rPr>
                <w:sz w:val="22"/>
                <w:szCs w:val="22"/>
              </w:rPr>
              <w:t>1</w:t>
            </w:r>
          </w:p>
        </w:tc>
        <w:tc>
          <w:tcPr>
            <w:tcW w:w="404" w:type="dxa"/>
            <w:vMerge w:val="restart"/>
            <w:shd w:val="clear" w:color="auto" w:fill="auto"/>
            <w:vAlign w:val="center"/>
          </w:tcPr>
          <w:p w:rsidR="00BA472C" w:rsidRPr="00A73BE4" w:rsidRDefault="00B57909" w:rsidP="00736A88">
            <w:pPr>
              <w:jc w:val="center"/>
              <w:rPr>
                <w:sz w:val="22"/>
                <w:szCs w:val="22"/>
              </w:rPr>
            </w:pPr>
            <w:r>
              <w:rPr>
                <w:sz w:val="22"/>
                <w:szCs w:val="22"/>
              </w:rPr>
              <w:t>0</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B57909">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A73BE4">
              <w:rPr>
                <w:sz w:val="22"/>
                <w:szCs w:val="22"/>
              </w:rPr>
              <w:t>2</w:t>
            </w:r>
            <w:r w:rsidR="00B57909">
              <w:rPr>
                <w:sz w:val="22"/>
                <w:szCs w:val="22"/>
              </w:rPr>
              <w:t>5</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 xml:space="preserve">kas istoriškai atliepia daugumos vietos gyventojų kultūrinius interesus ir lūkesčius. Remiamos veiklos: kultūrinės iniciatyvos, kultūrinės dirbtuvės, plenerai, parodos, kurios kuriamos ir eksponuojamos bendruomenių patalpose ar viešose atvirose </w:t>
            </w:r>
            <w:proofErr w:type="spellStart"/>
            <w:r w:rsidRPr="00295D14">
              <w:t>erdvėse</w:t>
            </w:r>
            <w:r w:rsidR="000113B8">
              <w:t>.</w:t>
            </w:r>
            <w:r w:rsidRPr="00295D14">
              <w:t>Projektuose</w:t>
            </w:r>
            <w:proofErr w:type="spellEnd"/>
            <w:r w:rsidRPr="00295D14">
              <w:t xml:space="preserve"> turi būti aprašoma, kad  priemonių tikslai ne vienadieniai ir, kad ateityje turės tęstinumą kas </w:t>
            </w:r>
            <w:r w:rsidRPr="00295D14">
              <w:lastRenderedPageBreak/>
              <w:t xml:space="preserve">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A113B8">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 xml:space="preserve">teritorijoje registruotos ir veiklą vykdančios bei pagal </w:t>
            </w:r>
            <w:proofErr w:type="spellStart"/>
            <w:r w:rsidRPr="002C31D6">
              <w:rPr>
                <w:b w:val="0"/>
                <w:bCs w:val="0"/>
                <w:caps w:val="0"/>
                <w:sz w:val="24"/>
                <w:szCs w:val="24"/>
                <w:lang w:val="lt-LT"/>
              </w:rPr>
              <w:t>lr</w:t>
            </w:r>
            <w:proofErr w:type="spellEnd"/>
            <w:r w:rsidRPr="002C31D6">
              <w:rPr>
                <w:b w:val="0"/>
                <w:bCs w:val="0"/>
                <w:caps w:val="0"/>
                <w:sz w:val="24"/>
                <w:szCs w:val="24"/>
                <w:lang w:val="lt-LT"/>
              </w:rPr>
              <w:t xml:space="preserve">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676274" w:rsidP="00CB49E2">
            <w:pPr>
              <w:jc w:val="both"/>
              <w:rPr>
                <w:b/>
                <w:i/>
                <w:sz w:val="22"/>
                <w:szCs w:val="22"/>
              </w:rPr>
            </w:pPr>
            <w:r w:rsidRPr="000113B8">
              <w:rPr>
                <w:sz w:val="22"/>
              </w:rPr>
              <w:t>30 000</w:t>
            </w:r>
            <w:r w:rsidR="000C1CF8" w:rsidRPr="000113B8">
              <w:rPr>
                <w:sz w:val="22"/>
              </w:rPr>
              <w:t>,00</w:t>
            </w:r>
            <w:r w:rsidR="004C3564" w:rsidRPr="000113B8">
              <w:rPr>
                <w:sz w:val="22"/>
              </w:rPr>
              <w:t xml:space="preserve"> </w:t>
            </w:r>
            <w:proofErr w:type="spellStart"/>
            <w:r w:rsidR="00CA59C2" w:rsidRPr="000113B8">
              <w:rPr>
                <w:sz w:val="22"/>
              </w:rPr>
              <w:t>Eur</w:t>
            </w:r>
            <w:proofErr w:type="spellEnd"/>
            <w:r w:rsidR="00CA59C2" w:rsidRPr="000113B8">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676274" w:rsidP="001E48BE">
            <w:pPr>
              <w:jc w:val="both"/>
              <w:rPr>
                <w:b/>
                <w:i/>
                <w:sz w:val="22"/>
                <w:szCs w:val="22"/>
              </w:rPr>
            </w:pPr>
            <w:r w:rsidRPr="000113B8">
              <w:rPr>
                <w:sz w:val="22"/>
              </w:rPr>
              <w:t>10 000</w:t>
            </w:r>
            <w:r w:rsidR="000C1CF8" w:rsidRPr="000113B8">
              <w:rPr>
                <w:sz w:val="22"/>
              </w:rPr>
              <w:t>,00</w:t>
            </w:r>
            <w:r w:rsidR="00CA59C2" w:rsidRPr="000113B8">
              <w:rPr>
                <w:sz w:val="22"/>
              </w:rPr>
              <w:t xml:space="preserve"> </w:t>
            </w:r>
            <w:proofErr w:type="spellStart"/>
            <w:r w:rsidR="00CA59C2" w:rsidRPr="000113B8">
              <w:rPr>
                <w:sz w:val="22"/>
              </w:rPr>
              <w:t>Eur</w:t>
            </w:r>
            <w:proofErr w:type="spellEnd"/>
            <w:r w:rsidR="00CA59C2" w:rsidRPr="000113B8">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 xml:space="preserve">Didžiausias galimas surinkti balų </w:t>
            </w:r>
            <w:r w:rsidRPr="00894EB7">
              <w:rPr>
                <w:b/>
                <w:sz w:val="22"/>
                <w:szCs w:val="22"/>
              </w:rPr>
              <w:lastRenderedPageBreak/>
              <w:t>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lastRenderedPageBreak/>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w:t>
            </w:r>
            <w:r w:rsidRPr="00A120FC">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lastRenderedPageBreak/>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w:t>
            </w:r>
            <w:r w:rsidR="007260F6" w:rsidRPr="002134A8">
              <w:rPr>
                <w:b/>
                <w:sz w:val="22"/>
                <w:szCs w:val="22"/>
              </w:rPr>
              <w:lastRenderedPageBreak/>
              <w:t xml:space="preserve">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w:t>
            </w:r>
            <w:r>
              <w:rPr>
                <w:b/>
                <w:sz w:val="22"/>
              </w:rPr>
              <w:lastRenderedPageBreak/>
              <w:t xml:space="preserve">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lastRenderedPageBreak/>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 xml:space="preserve">Vertinama pagal vietos projekto paraiškos </w:t>
            </w:r>
            <w:r w:rsidRPr="00F209AA">
              <w:rPr>
                <w:sz w:val="22"/>
              </w:rPr>
              <w:lastRenderedPageBreak/>
              <w:t>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lastRenderedPageBreak/>
              <w:t xml:space="preserve"> Teikiant užbaigto projekto metines  ataskaitas  </w:t>
            </w:r>
            <w:r w:rsidRPr="000C4096">
              <w:rPr>
                <w:bCs/>
                <w:iCs/>
                <w:sz w:val="22"/>
                <w:szCs w:val="22"/>
              </w:rPr>
              <w:lastRenderedPageBreak/>
              <w:t xml:space="preserve">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lastRenderedPageBreak/>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873C81">
            <w:pPr>
              <w:rPr>
                <w:b/>
                <w:bCs/>
                <w:sz w:val="22"/>
                <w:szCs w:val="22"/>
              </w:rPr>
            </w:pPr>
            <w:r w:rsidRPr="00FF5C57">
              <w:rPr>
                <w:b/>
                <w:bCs/>
              </w:rPr>
              <w:t xml:space="preserve">Naujų </w:t>
            </w:r>
            <w:r w:rsidR="00A276A2">
              <w:rPr>
                <w:b/>
                <w:bCs/>
              </w:rPr>
              <w:t xml:space="preserve">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Default="009973A5" w:rsidP="00873C81">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r w:rsidR="00873C81">
              <w:rPr>
                <w:b/>
                <w:sz w:val="22"/>
                <w:szCs w:val="22"/>
              </w:rPr>
              <w:t xml:space="preserve">  </w:t>
            </w:r>
            <w:r w:rsidR="00350575">
              <w:rPr>
                <w:b/>
                <w:sz w:val="22"/>
                <w:szCs w:val="22"/>
              </w:rPr>
              <w:t xml:space="preserve">Išlaidos turi būti </w:t>
            </w:r>
            <w:r w:rsidR="00873C81">
              <w:rPr>
                <w:b/>
                <w:sz w:val="22"/>
                <w:szCs w:val="22"/>
              </w:rPr>
              <w:t>įsigytos taip kaip nustatyta</w:t>
            </w:r>
            <w:r w:rsidR="004A30BD">
              <w:rPr>
                <w:b/>
                <w:sz w:val="22"/>
                <w:szCs w:val="22"/>
              </w:rPr>
              <w:t xml:space="preserve"> Vietos projektų administravimo taisyklių 27.1. punkte ir jo papunkčiuose.</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A120FC"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B21F01">
            <w:pPr>
              <w:rPr>
                <w:b/>
                <w:sz w:val="22"/>
                <w:szCs w:val="22"/>
              </w:rPr>
            </w:pPr>
            <w:r w:rsidRPr="00B21F01">
              <w:rPr>
                <w:b/>
              </w:rPr>
              <w:t>3.2.</w:t>
            </w:r>
            <w:r>
              <w:rPr>
                <w:b/>
              </w:rPr>
              <w:t>2.</w:t>
            </w:r>
          </w:p>
        </w:tc>
        <w:tc>
          <w:tcPr>
            <w:tcW w:w="2870" w:type="dxa"/>
            <w:gridSpan w:val="2"/>
            <w:shd w:val="clear" w:color="auto" w:fill="auto"/>
            <w:vAlign w:val="center"/>
          </w:tcPr>
          <w:p w:rsidR="004A30BD" w:rsidRPr="00FF5C57" w:rsidRDefault="004A30BD" w:rsidP="00873C81">
            <w:pPr>
              <w:rPr>
                <w:b/>
                <w:bCs/>
              </w:rPr>
            </w:pPr>
            <w:r>
              <w:rPr>
                <w:b/>
                <w:bCs/>
              </w:rPr>
              <w:t>Darbų ir p</w:t>
            </w:r>
            <w:r w:rsidRPr="00FF5C57">
              <w:rPr>
                <w:b/>
                <w:bCs/>
              </w:rPr>
              <w:t>aslaugų, įsigijimo išlaidos:</w:t>
            </w:r>
          </w:p>
        </w:tc>
        <w:tc>
          <w:tcPr>
            <w:tcW w:w="11197" w:type="dxa"/>
            <w:shd w:val="clear" w:color="auto" w:fill="auto"/>
            <w:vAlign w:val="center"/>
          </w:tcPr>
          <w:p w:rsidR="00350575" w:rsidRDefault="00350575" w:rsidP="004A30BD">
            <w:pPr>
              <w:rPr>
                <w:rFonts w:eastAsia="Calibri"/>
                <w:sz w:val="22"/>
                <w:szCs w:val="22"/>
              </w:rPr>
            </w:pPr>
            <w:r w:rsidRPr="009973A5">
              <w:rPr>
                <w:b/>
                <w:sz w:val="22"/>
                <w:szCs w:val="22"/>
              </w:rPr>
              <w:t>Visos tinkamų finansuoti išlaidos turi būti tiesiogiai susijusios su VPS priemonės turiniu ir būtinos VPS priemonei įgyvendinti</w:t>
            </w:r>
            <w:r>
              <w:rPr>
                <w:b/>
                <w:sz w:val="22"/>
                <w:szCs w:val="22"/>
              </w:rPr>
              <w:t xml:space="preserve">.  </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4A30BD">
            <w:pPr>
              <w:rPr>
                <w:b/>
                <w:sz w:val="22"/>
                <w:szCs w:val="22"/>
              </w:rPr>
            </w:pPr>
            <w:r w:rsidRPr="00B21F01">
              <w:rPr>
                <w:b/>
              </w:rPr>
              <w:lastRenderedPageBreak/>
              <w:t>3.2.</w:t>
            </w:r>
            <w:r>
              <w:rPr>
                <w:b/>
              </w:rPr>
              <w:t>3.</w:t>
            </w:r>
          </w:p>
        </w:tc>
        <w:tc>
          <w:tcPr>
            <w:tcW w:w="2870" w:type="dxa"/>
            <w:gridSpan w:val="2"/>
            <w:shd w:val="clear" w:color="auto" w:fill="auto"/>
            <w:vAlign w:val="center"/>
          </w:tcPr>
          <w:p w:rsidR="004A30BD" w:rsidRPr="004A30BD" w:rsidRDefault="004A30BD" w:rsidP="00873C81">
            <w:pPr>
              <w:rPr>
                <w:b/>
                <w:bCs/>
              </w:rPr>
            </w:pPr>
            <w:r w:rsidRPr="004A30BD">
              <w:rPr>
                <w:b/>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4A30BD" w:rsidRDefault="004A30BD" w:rsidP="004A30BD">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w:t>
            </w:r>
            <w:r w:rsidRPr="002B15FE">
              <w:rPr>
                <w:rFonts w:eastAsia="Calibri"/>
                <w:sz w:val="22"/>
                <w:szCs w:val="22"/>
              </w:rPr>
              <w:lastRenderedPageBreak/>
              <w:t xml:space="preserve">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lastRenderedPageBreak/>
              <w:t>3.</w:t>
            </w:r>
            <w:r>
              <w:rPr>
                <w:b/>
                <w:sz w:val="22"/>
                <w:szCs w:val="22"/>
              </w:rPr>
              <w:t>2</w:t>
            </w:r>
            <w:r w:rsidRPr="00A120FC">
              <w:rPr>
                <w:b/>
                <w:sz w:val="22"/>
                <w:szCs w:val="22"/>
              </w:rPr>
              <w:t>.</w:t>
            </w:r>
            <w:r w:rsidR="009F3F90">
              <w:rPr>
                <w:b/>
                <w:sz w:val="22"/>
                <w:szCs w:val="22"/>
              </w:rPr>
              <w:t>4.</w:t>
            </w:r>
          </w:p>
        </w:tc>
        <w:tc>
          <w:tcPr>
            <w:tcW w:w="2870" w:type="dxa"/>
            <w:gridSpan w:val="2"/>
            <w:shd w:val="clear" w:color="auto" w:fill="auto"/>
            <w:vAlign w:val="center"/>
          </w:tcPr>
          <w:p w:rsidR="009973A5" w:rsidRPr="00A120FC" w:rsidRDefault="009973A5" w:rsidP="006404A2">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w:t>
            </w:r>
            <w:r w:rsidR="006404A2">
              <w:rPr>
                <w:sz w:val="22"/>
                <w:szCs w:val="22"/>
              </w:rPr>
              <w:t>as</w:t>
            </w:r>
            <w:r w:rsidRPr="00A120FC">
              <w:rPr>
                <w:sz w:val="22"/>
                <w:szCs w:val="22"/>
              </w:rPr>
              <w:t>)</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873C81" w:rsidRPr="009973A5" w:rsidRDefault="00873C8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9F3F90">
            <w:pPr>
              <w:rPr>
                <w:sz w:val="22"/>
                <w:szCs w:val="22"/>
              </w:rPr>
            </w:pPr>
            <w:r w:rsidRPr="00A120FC">
              <w:rPr>
                <w:sz w:val="22"/>
                <w:szCs w:val="22"/>
              </w:rPr>
              <w:t>3.</w:t>
            </w:r>
            <w:r>
              <w:rPr>
                <w:sz w:val="22"/>
                <w:szCs w:val="22"/>
              </w:rPr>
              <w:t>2</w:t>
            </w:r>
            <w:r w:rsidRPr="00A120FC">
              <w:rPr>
                <w:sz w:val="22"/>
                <w:szCs w:val="22"/>
              </w:rPr>
              <w:t>.</w:t>
            </w:r>
            <w:r w:rsidR="009F3F90">
              <w:rPr>
                <w:sz w:val="22"/>
                <w:szCs w:val="22"/>
              </w:rPr>
              <w:t>4</w:t>
            </w:r>
            <w:r w:rsidRPr="00A120FC">
              <w:rPr>
                <w:sz w:val="22"/>
                <w:szCs w:val="22"/>
              </w:rPr>
              <w:t>.</w:t>
            </w:r>
            <w:r>
              <w:rPr>
                <w:sz w:val="22"/>
                <w:szCs w:val="22"/>
              </w:rPr>
              <w:t>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w:t>
            </w:r>
            <w:r w:rsidRPr="002B15FE">
              <w:rPr>
                <w:rFonts w:eastAsia="Calibri"/>
                <w:sz w:val="22"/>
                <w:szCs w:val="22"/>
              </w:rPr>
              <w:lastRenderedPageBreak/>
              <w:t>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9F3F90">
            <w:pPr>
              <w:rPr>
                <w:b/>
                <w:sz w:val="22"/>
                <w:szCs w:val="22"/>
              </w:rPr>
            </w:pPr>
            <w:r w:rsidRPr="0059121B">
              <w:rPr>
                <w:b/>
                <w:sz w:val="22"/>
                <w:szCs w:val="22"/>
              </w:rPr>
              <w:lastRenderedPageBreak/>
              <w:t>3.2.</w:t>
            </w:r>
            <w:r w:rsidR="009F3F90">
              <w:rPr>
                <w:b/>
                <w:sz w:val="22"/>
                <w:szCs w:val="22"/>
              </w:rPr>
              <w:t>5</w:t>
            </w:r>
            <w:r w:rsidR="00B21F01">
              <w:rPr>
                <w:b/>
                <w:sz w:val="22"/>
                <w:szCs w:val="22"/>
              </w:rPr>
              <w:t xml:space="preserve">. </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9F3F90">
            <w:pPr>
              <w:rPr>
                <w:sz w:val="22"/>
                <w:szCs w:val="22"/>
              </w:rPr>
            </w:pPr>
            <w:r w:rsidRPr="0059121B">
              <w:rPr>
                <w:sz w:val="22"/>
                <w:szCs w:val="22"/>
              </w:rPr>
              <w:t>3.2.</w:t>
            </w:r>
            <w:r w:rsidR="009F3F90">
              <w:rPr>
                <w:sz w:val="22"/>
                <w:szCs w:val="22"/>
              </w:rPr>
              <w:t>5.1</w:t>
            </w:r>
            <w:r w:rsidRPr="0059121B">
              <w:rPr>
                <w:sz w:val="22"/>
                <w:szCs w:val="22"/>
              </w:rPr>
              <w:t>.</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t>3.</w:t>
            </w:r>
            <w:r>
              <w:rPr>
                <w:b/>
                <w:sz w:val="22"/>
                <w:szCs w:val="22"/>
              </w:rPr>
              <w:t>2</w:t>
            </w:r>
            <w:r w:rsidRPr="00A120FC">
              <w:rPr>
                <w:b/>
                <w:sz w:val="22"/>
                <w:szCs w:val="22"/>
              </w:rPr>
              <w:t>.</w:t>
            </w:r>
            <w:r w:rsidR="009F3F90">
              <w:rPr>
                <w:b/>
                <w:sz w:val="22"/>
                <w:szCs w:val="22"/>
              </w:rPr>
              <w:t>6</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9F3F90">
            <w:pPr>
              <w:rPr>
                <w:b/>
                <w:sz w:val="22"/>
                <w:szCs w:val="22"/>
              </w:rPr>
            </w:pPr>
            <w:r>
              <w:rPr>
                <w:b/>
                <w:sz w:val="22"/>
                <w:szCs w:val="22"/>
              </w:rPr>
              <w:t>3.2.</w:t>
            </w:r>
            <w:r w:rsidR="009F3F90">
              <w:rPr>
                <w:b/>
                <w:sz w:val="22"/>
                <w:szCs w:val="22"/>
              </w:rPr>
              <w:t>7</w:t>
            </w:r>
            <w:r>
              <w:rPr>
                <w:b/>
                <w:sz w:val="22"/>
                <w:szCs w:val="22"/>
              </w:rPr>
              <w:t>.</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lastRenderedPageBreak/>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 xml:space="preserve">valstybinių kelių, jų ruožų, kitiems juridiniams ir (ar) fiziniams asmenims, kitoms organizacijoms, jų padaliniams priklausančių kelių, apibrėžtų Lietuvos </w:t>
            </w:r>
            <w:r w:rsidR="00B5599F" w:rsidRPr="00B5599F">
              <w:rPr>
                <w:sz w:val="22"/>
                <w:szCs w:val="22"/>
              </w:rPr>
              <w:lastRenderedPageBreak/>
              <w:t>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Pr="00C30697" w:rsidRDefault="00C30697" w:rsidP="00A276A2">
            <w:pPr>
              <w:tabs>
                <w:tab w:val="left" w:pos="993"/>
                <w:tab w:val="left" w:pos="1134"/>
              </w:tabs>
              <w:suppressAutoHyphens/>
              <w:jc w:val="both"/>
              <w:rPr>
                <w:sz w:val="28"/>
                <w:szCs w:val="28"/>
              </w:rPr>
            </w:pPr>
            <w:r>
              <w:rPr>
                <w:sz w:val="22"/>
                <w:szCs w:val="22"/>
              </w:rPr>
              <w:t>3.5.32.</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w:t>
            </w:r>
            <w:r w:rsidRPr="00A120FC">
              <w:rPr>
                <w:sz w:val="22"/>
                <w:szCs w:val="22"/>
              </w:rPr>
              <w:lastRenderedPageBreak/>
              <w:t xml:space="preserve">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E57A6B">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2020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 xml:space="preserve">Vietos projektas paremtas viešai </w:t>
            </w:r>
            <w:r>
              <w:lastRenderedPageBreak/>
              <w:t>publikuotais spausdintiniais, istoriniais, literatūriniais ar pan. rašytiniais šaltiniais 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lastRenderedPageBreak/>
              <w:t xml:space="preserve">Tikrinama </w:t>
            </w:r>
            <w:r>
              <w:rPr>
                <w:sz w:val="22"/>
              </w:rPr>
              <w:t xml:space="preserve"> projektui pagrįsti </w:t>
            </w:r>
            <w:r w:rsidRPr="00404CC9">
              <w:rPr>
                <w:sz w:val="22"/>
              </w:rPr>
              <w:t>paraiškoje</w:t>
            </w:r>
            <w:r>
              <w:rPr>
                <w:sz w:val="22"/>
              </w:rPr>
              <w:t xml:space="preserve"> ar </w:t>
            </w:r>
            <w:r w:rsidRPr="00404CC9">
              <w:rPr>
                <w:sz w:val="22"/>
              </w:rPr>
              <w:t xml:space="preserve">prie jos pridedamuose </w:t>
            </w:r>
            <w:r w:rsidRPr="00404CC9">
              <w:rPr>
                <w:sz w:val="22"/>
              </w:rPr>
              <w:lastRenderedPageBreak/>
              <w:t>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paremta viešai prieinamais publikuotais spausdintiniais istoriniais, literatūriniais ar pan. rašytiniais šaltiniais ir faktais (informacija</w:t>
            </w:r>
            <w:r w:rsidR="00CB15EB">
              <w:t xml:space="preserve"> </w:t>
            </w:r>
            <w:r>
              <w:t>tikrinama interneto šaltiniuose</w:t>
            </w:r>
            <w:r w:rsidR="00CB15EB">
              <w:t xml:space="preserve">, </w:t>
            </w:r>
            <w:r w:rsidR="006404A2">
              <w:t xml:space="preserve">pagal aplinkybes </w:t>
            </w:r>
            <w:r w:rsidR="00CB15EB">
              <w:t>gali būti</w:t>
            </w:r>
            <w:r w:rsidR="006404A2">
              <w:t xml:space="preserve"> užklau</w:t>
            </w:r>
            <w:r w:rsidR="00CB15EB">
              <w:t>siamos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lastRenderedPageBreak/>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lastRenderedPageBreak/>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A120FC" w:rsidRDefault="00500186" w:rsidP="00500186">
            <w:pPr>
              <w:rPr>
                <w:sz w:val="22"/>
                <w:szCs w:val="22"/>
              </w:rPr>
            </w:pP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620622">
            <w:pPr>
              <w:jc w:val="both"/>
              <w:rPr>
                <w:sz w:val="22"/>
                <w:szCs w:val="22"/>
              </w:rPr>
            </w:pPr>
            <w:r>
              <w:rPr>
                <w:sz w:val="22"/>
                <w:szCs w:val="22"/>
              </w:rPr>
              <w:t xml:space="preserve">Įgyvendinti vietos projektą per ne ilgiau kaip </w:t>
            </w:r>
            <w:r w:rsidR="00620622">
              <w:rPr>
                <w:sz w:val="22"/>
                <w:szCs w:val="22"/>
              </w:rPr>
              <w:t xml:space="preserve">36 </w:t>
            </w:r>
            <w:r>
              <w:rPr>
                <w:sz w:val="22"/>
                <w:szCs w:val="22"/>
              </w:rPr>
              <w:t xml:space="preserve"> mėn.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lastRenderedPageBreak/>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2C1642"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2C1642"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2C1642"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 xml:space="preserve">reglamento </w:t>
            </w:r>
            <w:r w:rsidR="004A22D9" w:rsidRPr="00A120FC">
              <w:rPr>
                <w:rFonts w:ascii="Times New Roman" w:hAnsi="Times New Roman" w:cs="Times New Roman"/>
                <w:color w:val="000000"/>
                <w:sz w:val="22"/>
                <w:szCs w:val="22"/>
                <w:lang w:val="lt-LT"/>
              </w:rPr>
              <w:lastRenderedPageBreak/>
              <w:t>(ES)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w:t>
            </w:r>
            <w:r w:rsidR="00887BD3" w:rsidRPr="00A120FC">
              <w:rPr>
                <w:rFonts w:ascii="Times New Roman" w:hAnsi="Times New Roman" w:cs="Times New Roman"/>
                <w:color w:val="000000"/>
                <w:sz w:val="22"/>
                <w:szCs w:val="22"/>
                <w:lang w:val="lt-LT"/>
              </w:rPr>
              <w:lastRenderedPageBreak/>
              <w:t>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 xml:space="preserve">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 xml:space="preserve">.6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B15EB" w:rsidRDefault="004E2729" w:rsidP="00CB15EB">
            <w:pPr>
              <w:jc w:val="both"/>
              <w:rPr>
                <w:i/>
                <w:sz w:val="22"/>
                <w:szCs w:val="22"/>
              </w:rPr>
            </w:pPr>
            <w:r w:rsidRPr="004E2729">
              <w:rPr>
                <w:color w:val="000000"/>
                <w:sz w:val="22"/>
                <w:szCs w:val="22"/>
              </w:rPr>
              <w:t xml:space="preserve">8.2.  </w:t>
            </w:r>
            <w:r w:rsidR="00E07F41">
              <w:rPr>
                <w:color w:val="000000"/>
                <w:sz w:val="22"/>
                <w:szCs w:val="22"/>
              </w:rPr>
              <w:t xml:space="preserve">Paraiška </w:t>
            </w:r>
            <w:r w:rsidR="00CB15EB">
              <w:rPr>
                <w:color w:val="000000"/>
                <w:sz w:val="22"/>
                <w:szCs w:val="22"/>
              </w:rPr>
              <w:t xml:space="preserve">laikoma pateikta iki </w:t>
            </w:r>
            <w:proofErr w:type="spellStart"/>
            <w:r w:rsidR="00CB15EB">
              <w:rPr>
                <w:color w:val="000000"/>
                <w:sz w:val="22"/>
                <w:szCs w:val="22"/>
              </w:rPr>
              <w:t>nustyto</w:t>
            </w:r>
            <w:proofErr w:type="spellEnd"/>
            <w:r w:rsidR="00CB15EB">
              <w:rPr>
                <w:color w:val="000000"/>
                <w:sz w:val="22"/>
                <w:szCs w:val="22"/>
              </w:rPr>
              <w:t xml:space="preserve"> termino, jeigu ji </w:t>
            </w:r>
            <w:r w:rsidR="00E07F41">
              <w:rPr>
                <w:color w:val="000000"/>
                <w:sz w:val="22"/>
                <w:szCs w:val="22"/>
              </w:rPr>
              <w:t xml:space="preserve"> pasirašyta kvalifikuotu elektroniniu parašu</w:t>
            </w:r>
            <w:r w:rsidR="00CB15EB">
              <w:rPr>
                <w:color w:val="000000"/>
                <w:sz w:val="22"/>
                <w:szCs w:val="22"/>
              </w:rPr>
              <w:t xml:space="preserve">, pateikta </w:t>
            </w:r>
            <w:r w:rsidR="00E07F41">
              <w:rPr>
                <w:color w:val="000000"/>
                <w:sz w:val="22"/>
                <w:szCs w:val="22"/>
              </w:rPr>
              <w:t>elektroniniu paštu:</w:t>
            </w:r>
            <w:r w:rsidR="00CB15EB" w:rsidRPr="00CB15EB">
              <w:t xml:space="preserve"> </w:t>
            </w:r>
            <w:hyperlink r:id="rId14" w:history="1">
              <w:r w:rsidR="006404A2" w:rsidRPr="00B52E22">
                <w:rPr>
                  <w:rStyle w:val="Hipersaitas"/>
                </w:rPr>
                <w:t>alytausrajonovvgprojektai@gmail.com</w:t>
              </w:r>
            </w:hyperlink>
            <w:r w:rsidR="00CB15EB">
              <w:rPr>
                <w:color w:val="000000"/>
                <w:sz w:val="22"/>
                <w:szCs w:val="22"/>
              </w:rPr>
              <w:t xml:space="preserve">  ir  prisegtas </w:t>
            </w:r>
            <w:r w:rsidR="00CB15EB" w:rsidRPr="00BA7B57">
              <w:rPr>
                <w:sz w:val="22"/>
                <w:szCs w:val="22"/>
              </w:rPr>
              <w:t>1 priedas „Vietos projekto paraiškos forma“</w:t>
            </w:r>
            <w:r w:rsidR="00CB15EB">
              <w:rPr>
                <w:sz w:val="22"/>
                <w:szCs w:val="22"/>
              </w:rPr>
              <w:t xml:space="preserve"> </w:t>
            </w:r>
            <w:r w:rsidRPr="004E2729">
              <w:rPr>
                <w:color w:val="000000"/>
                <w:sz w:val="22"/>
                <w:szCs w:val="22"/>
              </w:rPr>
              <w:t>Word formatu</w:t>
            </w:r>
            <w:r w:rsidR="00CB15EB">
              <w:rPr>
                <w:color w:val="000000"/>
                <w:sz w:val="22"/>
                <w:szCs w:val="22"/>
              </w:rPr>
              <w:t>.</w:t>
            </w:r>
            <w:r w:rsidRPr="004E2729">
              <w:rPr>
                <w:color w:val="000000"/>
                <w:sz w:val="22"/>
                <w:szCs w:val="22"/>
              </w:rPr>
              <w:t>.</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AA4" w:rsidRDefault="00344AA4" w:rsidP="0056536E">
      <w:r>
        <w:separator/>
      </w:r>
    </w:p>
  </w:endnote>
  <w:endnote w:type="continuationSeparator" w:id="0">
    <w:p w:rsidR="00344AA4" w:rsidRDefault="00344AA4"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2C1642">
    <w:pPr>
      <w:pStyle w:val="Porat"/>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Porat"/>
      <w:framePr w:wrap="around" w:vAnchor="text" w:hAnchor="margin" w:xAlign="right" w:y="1"/>
      <w:rPr>
        <w:rStyle w:val="Puslapionumeris"/>
      </w:rPr>
    </w:pPr>
  </w:p>
  <w:p w:rsidR="00873C81" w:rsidRDefault="00873C8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Pr="00875792" w:rsidRDefault="00873C8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AA4" w:rsidRDefault="00344AA4" w:rsidP="0056536E">
      <w:r>
        <w:separator/>
      </w:r>
    </w:p>
  </w:footnote>
  <w:footnote w:type="continuationSeparator" w:id="0">
    <w:p w:rsidR="00344AA4" w:rsidRDefault="00344AA4"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2C1642">
    <w:pPr>
      <w:pStyle w:val="Antrats"/>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2C1642">
    <w:pPr>
      <w:pStyle w:val="Antrats"/>
      <w:jc w:val="center"/>
    </w:pPr>
    <w:fldSimple w:instr="PAGE   \* MERGEFORMAT">
      <w:r w:rsidR="00CD466A">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Antrats"/>
      <w:jc w:val="center"/>
    </w:pPr>
  </w:p>
  <w:p w:rsidR="00873C81" w:rsidRDefault="00873C8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2662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42"/>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AA4"/>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575"/>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6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0BD"/>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812"/>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EA"/>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4A2"/>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B2A"/>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A33"/>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C81"/>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CA9"/>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3F90"/>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A32"/>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6D3D"/>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09"/>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B2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16E"/>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ED7"/>
    <w:rsid w:val="00CD2F02"/>
    <w:rsid w:val="00CD32C7"/>
    <w:rsid w:val="00CD3F26"/>
    <w:rsid w:val="00CD413A"/>
    <w:rsid w:val="00CD4196"/>
    <w:rsid w:val="00CD41EA"/>
    <w:rsid w:val="00CD466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DDF"/>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501"/>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cc344880c1d711eba2bad9a0748ee64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5A59-8276-4472-AECD-139AC1EB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17</Pages>
  <Words>34680</Words>
  <Characters>19769</Characters>
  <Application>Microsoft Office Word</Application>
  <DocSecurity>0</DocSecurity>
  <Lines>164</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54341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17</cp:revision>
  <cp:lastPrinted>2022-01-23T16:37:00Z</cp:lastPrinted>
  <dcterms:created xsi:type="dcterms:W3CDTF">2022-02-21T22:46:00Z</dcterms:created>
  <dcterms:modified xsi:type="dcterms:W3CDTF">2022-11-08T11:30:00Z</dcterms:modified>
</cp:coreProperties>
</file>